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76.0005454545455" w:lineRule="auto"/>
        <w:jc w:val="both"/>
        <w:rPr>
          <w:rFonts w:ascii="Titillium Web" w:cs="Titillium Web" w:eastAsia="Titillium Web" w:hAnsi="Titillium Web"/>
          <w:i w:val="1"/>
          <w:iCs w:val="1"/>
          <w:color w:val="222222"/>
          <w:sz w:val="22"/>
          <w:szCs w:val="22"/>
        </w:rPr>
      </w:pPr>
      <w:r w:rsidDel="00000000" w:rsidR="00000000" w:rsidRPr="00000000">
        <w:rPr>
          <w:rFonts w:ascii="Titillium Web" w:cs="Titillium Web" w:eastAsia="Titillium Web" w:hAnsi="Titillium Web"/>
          <w:i w:val="1"/>
          <w:iCs w:val="1"/>
          <w:color w:val="222222"/>
          <w:sz w:val="22"/>
          <w:szCs w:val="22"/>
          <w:rtl w:val="0"/>
        </w:rPr>
        <w:t xml:space="preserve">Unione delle Terre d’Argine, 26/02/2026</w:t>
      </w:r>
    </w:p>
    <w:p w:rsidR="00000000" w:rsidDel="00000000" w:rsidP="00000000" w:rsidRDefault="00000000" w:rsidRPr="00000000" w14:paraId="00000002">
      <w:pPr>
        <w:shd w:fill="ffffff" w:val="clear"/>
        <w:spacing w:line="276.0005454545455" w:lineRule="auto"/>
        <w:jc w:val="both"/>
        <w:rPr>
          <w:rFonts w:ascii="Titillium Web" w:cs="Titillium Web" w:eastAsia="Titillium Web" w:hAnsi="Titillium Web"/>
          <w:i w:val="1"/>
          <w:iCs w:val="1"/>
          <w:color w:val="222222"/>
          <w:sz w:val="22"/>
          <w:szCs w:val="22"/>
        </w:rPr>
      </w:pPr>
      <w:r w:rsidDel="00000000" w:rsidR="00000000" w:rsidRPr="00000000">
        <w:rPr>
          <w:rtl w:val="0"/>
        </w:rPr>
      </w:r>
    </w:p>
    <w:p w:rsidR="00000000" w:rsidDel="00000000" w:rsidP="00000000" w:rsidRDefault="00000000" w:rsidRPr="00000000" w14:paraId="00000003">
      <w:pPr>
        <w:ind w:right="-142"/>
        <w:jc w:val="both"/>
        <w:rPr>
          <w:rFonts w:ascii="Titillium Web" w:cs="Titillium Web" w:eastAsia="Titillium Web" w:hAnsi="Titillium Web"/>
          <w:b w:val="1"/>
          <w:bCs w:val="1"/>
          <w:sz w:val="26"/>
          <w:szCs w:val="26"/>
        </w:rPr>
      </w:pPr>
      <w:r w:rsidDel="00000000" w:rsidR="00000000" w:rsidRPr="00000000">
        <w:rPr>
          <w:rFonts w:ascii="Titillium Web" w:cs="Titillium Web" w:eastAsia="Titillium Web" w:hAnsi="Titillium Web"/>
          <w:b w:val="1"/>
          <w:bCs w:val="1"/>
          <w:sz w:val="26"/>
          <w:szCs w:val="26"/>
          <w:rtl w:val="0"/>
        </w:rPr>
        <w:t xml:space="preserve">Scuola 2025-2026: i dati del sistema educativo nell’Unione delle Terre d’Argine confermano solidità, inclusione e capacità di risposta ai bisogni delle famiglie</w:t>
      </w:r>
    </w:p>
    <w:p w:rsidR="00000000" w:rsidDel="00000000" w:rsidP="00000000" w:rsidRDefault="00000000" w:rsidRPr="00000000" w14:paraId="00000004">
      <w:pPr>
        <w:ind w:right="-142"/>
        <w:jc w:val="both"/>
        <w:rPr>
          <w:rFonts w:ascii="Titillium Web" w:cs="Titillium Web" w:eastAsia="Titillium Web" w:hAnsi="Titillium Web"/>
          <w:i w:val="1"/>
          <w:iCs w:val="1"/>
        </w:rPr>
      </w:pPr>
      <w:r w:rsidDel="00000000" w:rsidR="00000000" w:rsidRPr="00000000">
        <w:rPr>
          <w:rFonts w:ascii="Titillium Web" w:cs="Titillium Web" w:eastAsia="Titillium Web" w:hAnsi="Titillium Web"/>
          <w:i w:val="1"/>
          <w:iCs w:val="1"/>
          <w:rtl w:val="0"/>
        </w:rPr>
        <w:t xml:space="preserve">I dati aggiornati a dicembre ‘25 evidenziano un’elevata copertura dei servizi 0-6 anni, </w:t>
      </w:r>
      <w:r w:rsidDel="00000000" w:rsidR="00000000" w:rsidRPr="00000000">
        <w:rPr>
          <w:rFonts w:ascii="Titillium Web" w:cs="Titillium Web" w:eastAsia="Titillium Web" w:hAnsi="Titillium Web"/>
          <w:i w:val="1"/>
          <w:iCs w:val="1"/>
          <w:rtl w:val="0"/>
        </w:rPr>
        <w:t xml:space="preserve">piena risposta alle iscrizioni di primaria e secondaria inferiore </w:t>
      </w:r>
      <w:r w:rsidDel="00000000" w:rsidR="00000000" w:rsidRPr="00000000">
        <w:rPr>
          <w:rFonts w:ascii="Titillium Web" w:cs="Titillium Web" w:eastAsia="Titillium Web" w:hAnsi="Titillium Web"/>
          <w:i w:val="1"/>
          <w:iCs w:val="1"/>
          <w:rtl w:val="0"/>
        </w:rPr>
        <w:t xml:space="preserve">e crescita costante degli istituti superiori, in un contesto segnato da un parziale calo demografico.</w:t>
      </w:r>
    </w:p>
    <w:p w:rsidR="00000000" w:rsidDel="00000000" w:rsidP="00000000" w:rsidRDefault="00000000" w:rsidRPr="00000000" w14:paraId="00000005">
      <w:pPr>
        <w:spacing w:after="240" w:before="240" w:lineRule="auto"/>
        <w:jc w:val="both"/>
        <w:rPr>
          <w:rFonts w:ascii="Titillium Web" w:cs="Titillium Web" w:eastAsia="Titillium Web" w:hAnsi="Titillium Web"/>
          <w:color w:val="222222"/>
          <w:sz w:val="22"/>
          <w:szCs w:val="22"/>
        </w:rPr>
      </w:pPr>
      <w:r w:rsidDel="00000000" w:rsidR="00000000" w:rsidRPr="00000000">
        <w:rPr>
          <w:rFonts w:ascii="Titillium Web" w:cs="Titillium Web" w:eastAsia="Titillium Web" w:hAnsi="Titillium Web"/>
          <w:color w:val="222222"/>
          <w:sz w:val="22"/>
          <w:szCs w:val="22"/>
          <w:rtl w:val="0"/>
        </w:rPr>
        <w:t xml:space="preserve">L’Unione delle Terre d’Argine presenta il quadro aggiornato dei principali dati relativi ai servizi educativi e scolastici per l’anno 2025-2026, con riferimento agli iscritti e ai frequentanti rilevati a fine dicembre 2025. Il sistema territoriale si conferma complessivamente solido, capace di mantenere elevati livelli di copertura e di rispondere in modo strutturato alle trasformazioni demografiche in atto, in un contesto nazionale caratterizzato da un progressivo calo delle nascite.</w:t>
      </w:r>
    </w:p>
    <w:p w:rsidR="00000000" w:rsidDel="00000000" w:rsidP="00000000" w:rsidRDefault="00000000" w:rsidRPr="00000000" w14:paraId="00000006">
      <w:pPr>
        <w:spacing w:after="240" w:before="240" w:lineRule="auto"/>
        <w:jc w:val="both"/>
        <w:rPr>
          <w:rFonts w:ascii="Titillium Web" w:cs="Titillium Web" w:eastAsia="Titillium Web" w:hAnsi="Titillium Web"/>
          <w:color w:val="222222"/>
          <w:sz w:val="22"/>
          <w:szCs w:val="22"/>
        </w:rPr>
      </w:pPr>
      <w:r w:rsidDel="00000000" w:rsidR="00000000" w:rsidRPr="00000000">
        <w:rPr>
          <w:rFonts w:ascii="Titillium Web" w:cs="Titillium Web" w:eastAsia="Titillium Web" w:hAnsi="Titillium Web"/>
          <w:color w:val="222222"/>
          <w:sz w:val="22"/>
          <w:szCs w:val="22"/>
          <w:rtl w:val="0"/>
        </w:rPr>
        <w:t xml:space="preserve">Per quanto riguarda i </w:t>
      </w:r>
      <w:r w:rsidDel="00000000" w:rsidR="00000000" w:rsidRPr="00000000">
        <w:rPr>
          <w:rFonts w:ascii="Titillium Web" w:cs="Titillium Web" w:eastAsia="Titillium Web" w:hAnsi="Titillium Web"/>
          <w:b w:val="1"/>
          <w:bCs w:val="1"/>
          <w:color w:val="222222"/>
          <w:sz w:val="22"/>
          <w:szCs w:val="22"/>
          <w:rtl w:val="0"/>
        </w:rPr>
        <w:t xml:space="preserve">nidi d’infanzia</w:t>
      </w:r>
      <w:r w:rsidDel="00000000" w:rsidR="00000000" w:rsidRPr="00000000">
        <w:rPr>
          <w:rFonts w:ascii="Titillium Web" w:cs="Titillium Web" w:eastAsia="Titillium Web" w:hAnsi="Titillium Web"/>
          <w:color w:val="222222"/>
          <w:sz w:val="22"/>
          <w:szCs w:val="22"/>
          <w:rtl w:val="0"/>
        </w:rPr>
        <w:t xml:space="preserve"> e i servizi educativi 0-3 anni, sul territorio dell’Unione sono attivi 10 </w:t>
      </w:r>
      <w:r w:rsidDel="00000000" w:rsidR="00000000" w:rsidRPr="00000000">
        <w:rPr>
          <w:rFonts w:ascii="Titillium Web" w:cs="Titillium Web" w:eastAsia="Titillium Web" w:hAnsi="Titillium Web"/>
          <w:color w:val="222222"/>
          <w:sz w:val="22"/>
          <w:szCs w:val="22"/>
          <w:rtl w:val="0"/>
        </w:rPr>
        <w:t xml:space="preserve">nidi comunali a gestione diretta e uno in appalto, quattro nidi privati con posti comunali appaltati e finanziati, tredici nidi e servizi convenzionati e altri con posti interamente privati autorizzati al funzionamento, per un totale </w:t>
      </w:r>
      <w:r w:rsidDel="00000000" w:rsidR="00000000" w:rsidRPr="00000000">
        <w:rPr>
          <w:rFonts w:ascii="Titillium Web" w:cs="Titillium Web" w:eastAsia="Titillium Web" w:hAnsi="Titillium Web"/>
          <w:color w:val="222222"/>
          <w:sz w:val="22"/>
          <w:szCs w:val="22"/>
          <w:rtl w:val="0"/>
        </w:rPr>
        <w:t xml:space="preserve">complessivo di 934 bambini frequentanti.  Il</w:t>
      </w:r>
      <w:r w:rsidDel="00000000" w:rsidR="00000000" w:rsidRPr="00000000">
        <w:rPr>
          <w:rFonts w:ascii="Titillium Web" w:cs="Titillium Web" w:eastAsia="Titillium Web" w:hAnsi="Titillium Web"/>
          <w:color w:val="222222"/>
          <w:sz w:val="22"/>
          <w:szCs w:val="22"/>
          <w:rtl w:val="0"/>
        </w:rPr>
        <w:t xml:space="preserve"> tasso di frequenza nei servizi 0-3, dei bambini residenti rispetto ai nati, è del 49,65%</w:t>
      </w:r>
      <w:r w:rsidDel="00000000" w:rsidR="00000000" w:rsidRPr="00000000">
        <w:rPr>
          <w:rFonts w:ascii="Titillium Web" w:cs="Titillium Web" w:eastAsia="Titillium Web" w:hAnsi="Titillium Web"/>
          <w:color w:val="222222"/>
          <w:sz w:val="22"/>
          <w:szCs w:val="22"/>
          <w:rtl w:val="0"/>
        </w:rPr>
        <w:t xml:space="preserve">, in significativa crescita rispetto all’anno precedente e ben superiore ai nuovi sfidanti obiettivi europei fissati che individuano nel 45% la soglia di copertura da raggiungere entro il 2030.</w:t>
      </w:r>
    </w:p>
    <w:p w:rsidR="00000000" w:rsidDel="00000000" w:rsidP="00000000" w:rsidRDefault="00000000" w:rsidRPr="00000000" w14:paraId="00000007">
      <w:pPr>
        <w:spacing w:after="240" w:before="240" w:lineRule="auto"/>
        <w:jc w:val="both"/>
        <w:rPr>
          <w:rFonts w:ascii="Titillium Web" w:cs="Titillium Web" w:eastAsia="Titillium Web" w:hAnsi="Titillium Web"/>
          <w:color w:val="222222"/>
          <w:sz w:val="22"/>
          <w:szCs w:val="22"/>
        </w:rPr>
      </w:pPr>
      <w:r w:rsidDel="00000000" w:rsidR="00000000" w:rsidRPr="00000000">
        <w:rPr>
          <w:rFonts w:ascii="Titillium Web" w:cs="Titillium Web" w:eastAsia="Titillium Web" w:hAnsi="Titillium Web"/>
          <w:color w:val="222222"/>
          <w:sz w:val="22"/>
          <w:szCs w:val="22"/>
          <w:rtl w:val="0"/>
        </w:rPr>
        <w:t xml:space="preserve">Anche la capacità di risposta alle domande di iscrizione si mantiene elevata: a dicembre 2025, l’85,60% delle richieste risulta soddisfatto, con un progressivo scorrimento delle liste d’attesa nel corso dell’anno educativo grazie a nuovi ingressi e al sostegno delle politiche regionali. Il sistema si completa con quattro “Piccoli Gruppi Educativi”, sezioni primavera, servizi sperimentali presso scuole comunali e Centri Bambini e Famiglie, che registrano complessivamente oltre 100 frequentanti a settimana, contribuendo a un’offerta flessibile e integrata.</w:t>
      </w:r>
    </w:p>
    <w:p w:rsidR="00000000" w:rsidDel="00000000" w:rsidP="00000000" w:rsidRDefault="00000000" w:rsidRPr="00000000" w14:paraId="00000008">
      <w:pPr>
        <w:spacing w:after="240" w:before="240" w:lineRule="auto"/>
        <w:jc w:val="both"/>
        <w:rPr>
          <w:rFonts w:ascii="Titillium Web" w:cs="Titillium Web" w:eastAsia="Titillium Web" w:hAnsi="Titillium Web"/>
          <w:color w:val="222222"/>
          <w:sz w:val="22"/>
          <w:szCs w:val="22"/>
        </w:rPr>
      </w:pPr>
      <w:r w:rsidDel="00000000" w:rsidR="00000000" w:rsidRPr="00000000">
        <w:rPr>
          <w:rFonts w:ascii="Titillium Web" w:cs="Titillium Web" w:eastAsia="Titillium Web" w:hAnsi="Titillium Web"/>
          <w:color w:val="222222"/>
          <w:sz w:val="22"/>
          <w:szCs w:val="22"/>
          <w:rtl w:val="0"/>
        </w:rPr>
        <w:t xml:space="preserve">Nelle </w:t>
      </w:r>
      <w:r w:rsidDel="00000000" w:rsidR="00000000" w:rsidRPr="00000000">
        <w:rPr>
          <w:rFonts w:ascii="Titillium Web" w:cs="Titillium Web" w:eastAsia="Titillium Web" w:hAnsi="Titillium Web"/>
          <w:b w:val="1"/>
          <w:bCs w:val="1"/>
          <w:color w:val="222222"/>
          <w:sz w:val="22"/>
          <w:szCs w:val="22"/>
          <w:rtl w:val="0"/>
        </w:rPr>
        <w:t xml:space="preserve">scuole dell’infanzia</w:t>
      </w:r>
      <w:r w:rsidDel="00000000" w:rsidR="00000000" w:rsidRPr="00000000">
        <w:rPr>
          <w:rFonts w:ascii="Titillium Web" w:cs="Titillium Web" w:eastAsia="Titillium Web" w:hAnsi="Titillium Web"/>
          <w:color w:val="222222"/>
          <w:sz w:val="22"/>
          <w:szCs w:val="22"/>
          <w:rtl w:val="0"/>
        </w:rPr>
        <w:t xml:space="preserve"> risultano attive 34 istituzioni tra comunali, statali e paritarie autonome, per un totale di 111 sezioni e 2.308 bambini frequentanti, dato sostanzialmente stabile rispetto all’anno precedente. Oltre il 98% dei bambini residenti nel territorio si iscrive alla scuola dell’infanzia e il tasso di risposta alle domande di iscrizione è pari al 100%. I bambini con cittadinanza non italiana sono 480, pari al 20,80% del totale, mentre i bambini con disabilità certificata sono 81.</w:t>
      </w:r>
    </w:p>
    <w:p w:rsidR="00000000" w:rsidDel="00000000" w:rsidP="00000000" w:rsidRDefault="00000000" w:rsidRPr="00000000" w14:paraId="00000009">
      <w:pPr>
        <w:spacing w:after="240" w:before="240" w:lineRule="auto"/>
        <w:jc w:val="both"/>
        <w:rPr>
          <w:rFonts w:ascii="Titillium Web" w:cs="Titillium Web" w:eastAsia="Titillium Web" w:hAnsi="Titillium Web"/>
          <w:color w:val="222222"/>
          <w:sz w:val="22"/>
          <w:szCs w:val="22"/>
        </w:rPr>
      </w:pPr>
      <w:r w:rsidDel="00000000" w:rsidR="00000000" w:rsidRPr="00000000">
        <w:rPr>
          <w:rFonts w:ascii="Titillium Web" w:cs="Titillium Web" w:eastAsia="Titillium Web" w:hAnsi="Titillium Web"/>
          <w:color w:val="222222"/>
          <w:sz w:val="22"/>
          <w:szCs w:val="22"/>
          <w:rtl w:val="0"/>
        </w:rPr>
        <w:t xml:space="preserve">Per quanto riguarda la </w:t>
      </w:r>
      <w:r w:rsidDel="00000000" w:rsidR="00000000" w:rsidRPr="00000000">
        <w:rPr>
          <w:rFonts w:ascii="Titillium Web" w:cs="Titillium Web" w:eastAsia="Titillium Web" w:hAnsi="Titillium Web"/>
          <w:b w:val="1"/>
          <w:bCs w:val="1"/>
          <w:color w:val="222222"/>
          <w:sz w:val="22"/>
          <w:szCs w:val="22"/>
          <w:rtl w:val="0"/>
        </w:rPr>
        <w:t xml:space="preserve">scuola primaria</w:t>
      </w:r>
      <w:r w:rsidDel="00000000" w:rsidR="00000000" w:rsidRPr="00000000">
        <w:rPr>
          <w:rFonts w:ascii="Titillium Web" w:cs="Titillium Web" w:eastAsia="Titillium Web" w:hAnsi="Titillium Web"/>
          <w:color w:val="222222"/>
          <w:sz w:val="22"/>
          <w:szCs w:val="22"/>
          <w:rtl w:val="0"/>
        </w:rPr>
        <w:t xml:space="preserve">, nell’Unione sono funzionanti 22 plessi, di cui due paritari, per complessive 206 classi e 4.234 alunni frequentanti, dato pressoché stabile rispetto allo scorso anno. La media è di 20,55 alunni per classe. Gli alunni con cittadinanza non italiana sono 1.088, pari al 25,70% del totale, mentre gli alunni con disabilità certificata sono 257, pari al 6,07%, entrambi in lieve aumento percentuale.</w:t>
      </w:r>
    </w:p>
    <w:p w:rsidR="00000000" w:rsidDel="00000000" w:rsidP="00000000" w:rsidRDefault="00000000" w:rsidRPr="00000000" w14:paraId="0000000A">
      <w:pPr>
        <w:spacing w:after="240" w:before="240" w:lineRule="auto"/>
        <w:jc w:val="both"/>
        <w:rPr>
          <w:rFonts w:ascii="Titillium Web" w:cs="Titillium Web" w:eastAsia="Titillium Web" w:hAnsi="Titillium Web"/>
          <w:color w:val="222222"/>
          <w:sz w:val="22"/>
          <w:szCs w:val="22"/>
        </w:rPr>
      </w:pPr>
      <w:r w:rsidDel="00000000" w:rsidR="00000000" w:rsidRPr="00000000">
        <w:rPr>
          <w:rFonts w:ascii="Titillium Web" w:cs="Titillium Web" w:eastAsia="Titillium Web" w:hAnsi="Titillium Web"/>
          <w:color w:val="222222"/>
          <w:sz w:val="22"/>
          <w:szCs w:val="22"/>
          <w:rtl w:val="0"/>
        </w:rPr>
        <w:t xml:space="preserve">Nella</w:t>
      </w:r>
      <w:r w:rsidDel="00000000" w:rsidR="00000000" w:rsidRPr="00000000">
        <w:rPr>
          <w:rFonts w:ascii="Titillium Web" w:cs="Titillium Web" w:eastAsia="Titillium Web" w:hAnsi="Titillium Web"/>
          <w:b w:val="1"/>
          <w:bCs w:val="1"/>
          <w:color w:val="222222"/>
          <w:sz w:val="22"/>
          <w:szCs w:val="22"/>
          <w:rtl w:val="0"/>
        </w:rPr>
        <w:t xml:space="preserve"> scuola secondaria di primo grado </w:t>
      </w:r>
      <w:r w:rsidDel="00000000" w:rsidR="00000000" w:rsidRPr="00000000">
        <w:rPr>
          <w:rFonts w:ascii="Titillium Web" w:cs="Titillium Web" w:eastAsia="Titillium Web" w:hAnsi="Titillium Web"/>
          <w:color w:val="222222"/>
          <w:sz w:val="22"/>
          <w:szCs w:val="22"/>
          <w:rtl w:val="0"/>
        </w:rPr>
        <w:t xml:space="preserve">sono attive 8 scuole di cui 1 paritaria, per un totale di 2.921 studenti distribuiti in 131 classi. Il dato complessivo registra una diminuzione di 52 alunni rispetto all’anno precedente, in linea con il parziale calo demografico già evidenziato nei segmenti precedenti. Gli studenti con cittadinanza non italiana sono 798, pari al 27,32% del totale, mentre gli alunni con disabilità sono 162, pari al 5,55%.</w:t>
      </w:r>
    </w:p>
    <w:p w:rsidR="00000000" w:rsidDel="00000000" w:rsidP="00000000" w:rsidRDefault="00000000" w:rsidRPr="00000000" w14:paraId="0000000B">
      <w:pPr>
        <w:spacing w:after="240" w:before="240" w:lineRule="auto"/>
        <w:jc w:val="both"/>
        <w:rPr>
          <w:rFonts w:ascii="Titillium Web" w:cs="Titillium Web" w:eastAsia="Titillium Web" w:hAnsi="Titillium Web"/>
          <w:color w:val="222222"/>
          <w:sz w:val="22"/>
          <w:szCs w:val="22"/>
        </w:rPr>
      </w:pPr>
      <w:r w:rsidDel="00000000" w:rsidR="00000000" w:rsidRPr="00000000">
        <w:rPr>
          <w:rFonts w:ascii="Titillium Web" w:cs="Titillium Web" w:eastAsia="Titillium Web" w:hAnsi="Titillium Web"/>
          <w:color w:val="222222"/>
          <w:sz w:val="22"/>
          <w:szCs w:val="22"/>
          <w:rtl w:val="0"/>
        </w:rPr>
        <w:t xml:space="preserve">In controtendenza rispetto alla dinamica demografica risultano le </w:t>
      </w:r>
      <w:r w:rsidDel="00000000" w:rsidR="00000000" w:rsidRPr="00000000">
        <w:rPr>
          <w:rFonts w:ascii="Titillium Web" w:cs="Titillium Web" w:eastAsia="Titillium Web" w:hAnsi="Titillium Web"/>
          <w:b w:val="1"/>
          <w:bCs w:val="1"/>
          <w:color w:val="222222"/>
          <w:sz w:val="22"/>
          <w:szCs w:val="22"/>
          <w:rtl w:val="0"/>
        </w:rPr>
        <w:t xml:space="preserve">scuole secondarie di secondo grado</w:t>
      </w:r>
      <w:r w:rsidDel="00000000" w:rsidR="00000000" w:rsidRPr="00000000">
        <w:rPr>
          <w:rFonts w:ascii="Titillium Web" w:cs="Titillium Web" w:eastAsia="Titillium Web" w:hAnsi="Titillium Web"/>
          <w:color w:val="222222"/>
          <w:sz w:val="22"/>
          <w:szCs w:val="22"/>
          <w:rtl w:val="0"/>
        </w:rPr>
        <w:t xml:space="preserve">, presenti a Carpi con quattro istituti, che nell’anno scolastico 2025-2026 raggiungono 5.363 studenti distribuiti in 228 classi, con un incremento significativo rispetto all’anno precedente. Il trend di crescita si conferma costante negli ultimi anni, superando stabilmente la soglia dei 5.000 </w:t>
      </w:r>
      <w:r w:rsidDel="00000000" w:rsidR="00000000" w:rsidRPr="00000000">
        <w:rPr>
          <w:rFonts w:ascii="Titillium Web" w:cs="Titillium Web" w:eastAsia="Titillium Web" w:hAnsi="Titillium Web"/>
          <w:color w:val="222222"/>
          <w:sz w:val="22"/>
          <w:szCs w:val="22"/>
          <w:rtl w:val="0"/>
        </w:rPr>
        <w:t xml:space="preserve">iscritti</w:t>
      </w:r>
      <w:r w:rsidDel="00000000" w:rsidR="00000000" w:rsidRPr="00000000">
        <w:rPr>
          <w:rFonts w:ascii="Titillium Web" w:cs="Titillium Web" w:eastAsia="Titillium Web" w:hAnsi="Titillium Web"/>
          <w:color w:val="222222"/>
          <w:sz w:val="22"/>
          <w:szCs w:val="22"/>
          <w:rtl w:val="0"/>
        </w:rPr>
        <w:t xml:space="preserve">, </w:t>
      </w:r>
      <w:r w:rsidDel="00000000" w:rsidR="00000000" w:rsidRPr="00000000">
        <w:rPr>
          <w:rFonts w:ascii="Titillium Web" w:cs="Titillium Web" w:eastAsia="Titillium Web" w:hAnsi="Titillium Web"/>
          <w:color w:val="222222"/>
          <w:sz w:val="22"/>
          <w:szCs w:val="22"/>
          <w:rtl w:val="0"/>
        </w:rPr>
        <w:t xml:space="preserve">anche in ragione della cospicua presenza di studenti provenienti da aree confinanti con le Terre d'Argine</w:t>
      </w:r>
      <w:r w:rsidDel="00000000" w:rsidR="00000000" w:rsidRPr="00000000">
        <w:rPr>
          <w:rFonts w:ascii="Titillium Web" w:cs="Titillium Web" w:eastAsia="Titillium Web" w:hAnsi="Titillium Web"/>
          <w:color w:val="222222"/>
          <w:sz w:val="22"/>
          <w:szCs w:val="22"/>
          <w:rtl w:val="0"/>
        </w:rPr>
        <w:t xml:space="preserve">. Gli studenti con cittadinanza non italiana sono 882, pari al 16,45% del totale, mentre gli alunni con disabilità sono 177, pari al 3,30%. In lieve aumento anche gli iscritti al Centro Provinciale per l’Istruzione degli Adulti.</w:t>
      </w:r>
    </w:p>
    <w:p w:rsidR="00000000" w:rsidDel="00000000" w:rsidP="00000000" w:rsidRDefault="00000000" w:rsidRPr="00000000" w14:paraId="0000000C">
      <w:pPr>
        <w:spacing w:after="240" w:before="240" w:lineRule="auto"/>
        <w:jc w:val="both"/>
        <w:rPr>
          <w:rFonts w:ascii="Titillium Web" w:cs="Titillium Web" w:eastAsia="Titillium Web" w:hAnsi="Titillium Web"/>
          <w:color w:val="ff0000"/>
          <w:sz w:val="22"/>
          <w:szCs w:val="22"/>
        </w:rPr>
      </w:pPr>
      <w:r w:rsidDel="00000000" w:rsidR="00000000" w:rsidRPr="00000000">
        <w:rPr>
          <w:rFonts w:ascii="Titillium Web" w:cs="Titillium Web" w:eastAsia="Titillium Web" w:hAnsi="Titillium Web"/>
          <w:color w:val="222222"/>
          <w:sz w:val="22"/>
          <w:szCs w:val="22"/>
          <w:rtl w:val="0"/>
        </w:rPr>
        <w:t xml:space="preserve">“</w:t>
      </w:r>
      <w:r w:rsidDel="00000000" w:rsidR="00000000" w:rsidRPr="00000000">
        <w:rPr>
          <w:rFonts w:ascii="Titillium Web" w:cs="Titillium Web" w:eastAsia="Titillium Web" w:hAnsi="Titillium Web"/>
          <w:i w:val="1"/>
          <w:iCs w:val="1"/>
          <w:color w:val="222222"/>
          <w:sz w:val="22"/>
          <w:szCs w:val="22"/>
          <w:rtl w:val="0"/>
        </w:rPr>
        <w:t xml:space="preserve">Nel complesso</w:t>
      </w:r>
      <w:r w:rsidDel="00000000" w:rsidR="00000000" w:rsidRPr="00000000">
        <w:rPr>
          <w:rFonts w:ascii="Titillium Web" w:cs="Titillium Web" w:eastAsia="Titillium Web" w:hAnsi="Titillium Web"/>
          <w:color w:val="222222"/>
          <w:sz w:val="22"/>
          <w:szCs w:val="22"/>
          <w:rtl w:val="0"/>
        </w:rPr>
        <w:t xml:space="preserve">” - dichiara Daniela Tebasti, assessora alle Politiche Educative e Scolastiche dell’Unione Terre d’Argine - “</w:t>
      </w:r>
      <w:r w:rsidDel="00000000" w:rsidR="00000000" w:rsidRPr="00000000">
        <w:rPr>
          <w:rFonts w:ascii="Titillium Web" w:cs="Titillium Web" w:eastAsia="Titillium Web" w:hAnsi="Titillium Web"/>
          <w:i w:val="1"/>
          <w:iCs w:val="1"/>
          <w:color w:val="222222"/>
          <w:sz w:val="22"/>
          <w:szCs w:val="22"/>
          <w:rtl w:val="0"/>
        </w:rPr>
        <w:t xml:space="preserve">i dati confermano un sistema educativo territoriale integrato, inclusivo e capace di mantenere elevati standard di accesso e qualità in tutti gli ordini di scuola. L’Unione delle Terre d’Argine continua a garantire un’offerta ampia e articolata, sostenuta dalla collaborazione tra istituzioni scolastiche, enti locali e soggetti del territorio, con l’obiettivo di assicurare servizi educativi e formativi accessibili, efficaci e coerenti con gli indirizzi nazionali. Il </w:t>
      </w:r>
      <w:r w:rsidDel="00000000" w:rsidR="00000000" w:rsidRPr="00000000">
        <w:rPr>
          <w:rFonts w:ascii="Titillium Web" w:cs="Titillium Web" w:eastAsia="Titillium Web" w:hAnsi="Titillium Web"/>
          <w:i w:val="1"/>
          <w:iCs w:val="1"/>
          <w:color w:val="222222"/>
          <w:sz w:val="22"/>
          <w:szCs w:val="22"/>
          <w:rtl w:val="0"/>
        </w:rPr>
        <w:t xml:space="preserve">Coordinamento del Patto per la scuola si conferma uno strumento efficace di elaborazione di strategie comuni e condivise relative all'offerta educativa e formativa del territorio.</w:t>
      </w:r>
      <w:r w:rsidDel="00000000" w:rsidR="00000000" w:rsidRPr="00000000">
        <w:rPr>
          <w:rFonts w:ascii="Titillium Web" w:cs="Titillium Web" w:eastAsia="Titillium Web" w:hAnsi="Titillium Web"/>
          <w:color w:val="222222"/>
          <w:sz w:val="22"/>
          <w:szCs w:val="22"/>
          <w:rtl w:val="0"/>
        </w:rPr>
        <w:t xml:space="preserve">”</w:t>
      </w:r>
      <w:r w:rsidDel="00000000" w:rsidR="00000000" w:rsidRPr="00000000">
        <w:rPr>
          <w:rtl w:val="0"/>
        </w:rPr>
      </w:r>
    </w:p>
    <w:p w:rsidR="00000000" w:rsidDel="00000000" w:rsidP="00000000" w:rsidRDefault="00000000" w:rsidRPr="00000000" w14:paraId="0000000D">
      <w:pPr>
        <w:spacing w:after="240" w:before="240" w:lineRule="auto"/>
        <w:jc w:val="both"/>
        <w:rPr>
          <w:rFonts w:ascii="Titillium Web" w:cs="Titillium Web" w:eastAsia="Titillium Web" w:hAnsi="Titillium Web"/>
          <w:color w:val="222222"/>
          <w:sz w:val="22"/>
          <w:szCs w:val="22"/>
        </w:rPr>
      </w:pPr>
      <w:r w:rsidDel="00000000" w:rsidR="00000000" w:rsidRPr="00000000">
        <w:rPr>
          <w:rFonts w:ascii="Titillium Web" w:cs="Titillium Web" w:eastAsia="Titillium Web" w:hAnsi="Titillium Web"/>
          <w:color w:val="222222"/>
          <w:sz w:val="22"/>
          <w:szCs w:val="22"/>
          <w:rtl w:val="0"/>
        </w:rPr>
        <w:t xml:space="preserve"> </w:t>
      </w:r>
    </w:p>
    <w:p w:rsidR="00000000" w:rsidDel="00000000" w:rsidP="00000000" w:rsidRDefault="00000000" w:rsidRPr="00000000" w14:paraId="0000000E">
      <w:pPr>
        <w:rPr>
          <w:rFonts w:ascii="Titillium Web" w:cs="Titillium Web" w:eastAsia="Titillium Web" w:hAnsi="Titillium Web"/>
          <w:color w:val="222222"/>
          <w:sz w:val="22"/>
          <w:szCs w:val="22"/>
        </w:rPr>
      </w:pPr>
      <w:r w:rsidDel="00000000" w:rsidR="00000000" w:rsidRPr="00000000">
        <w:rPr>
          <w:rtl w:val="0"/>
        </w:rPr>
      </w:r>
    </w:p>
    <w:p w:rsidR="00000000" w:rsidDel="00000000" w:rsidP="00000000" w:rsidRDefault="00000000" w:rsidRPr="00000000" w14:paraId="0000000F">
      <w:pPr>
        <w:jc w:val="both"/>
        <w:rPr>
          <w:rFonts w:ascii="Titillium Web" w:cs="Titillium Web" w:eastAsia="Titillium Web" w:hAnsi="Titillium Web"/>
          <w:color w:val="222222"/>
          <w:sz w:val="22"/>
          <w:szCs w:val="22"/>
        </w:rPr>
      </w:pPr>
      <w:r w:rsidDel="00000000" w:rsidR="00000000" w:rsidRPr="00000000">
        <w:rPr>
          <w:rtl w:val="0"/>
        </w:rPr>
      </w:r>
    </w:p>
    <w:p w:rsidR="00000000" w:rsidDel="00000000" w:rsidP="00000000" w:rsidRDefault="00000000" w:rsidRPr="00000000" w14:paraId="00000010">
      <w:pPr>
        <w:jc w:val="both"/>
        <w:rPr>
          <w:rFonts w:ascii="Titillium Web" w:cs="Titillium Web" w:eastAsia="Titillium Web" w:hAnsi="Titillium Web"/>
          <w:color w:val="222222"/>
          <w:sz w:val="22"/>
          <w:szCs w:val="22"/>
        </w:rPr>
      </w:pPr>
      <w:r w:rsidDel="00000000" w:rsidR="00000000" w:rsidRPr="00000000">
        <w:rPr>
          <w:rtl w:val="0"/>
        </w:rPr>
      </w:r>
    </w:p>
    <w:p w:rsidR="00000000" w:rsidDel="00000000" w:rsidP="00000000" w:rsidRDefault="00000000" w:rsidRPr="00000000" w14:paraId="00000011">
      <w:pPr>
        <w:jc w:val="both"/>
        <w:rPr>
          <w:rFonts w:ascii="Titillium Web" w:cs="Titillium Web" w:eastAsia="Titillium Web" w:hAnsi="Titillium Web"/>
          <w:color w:val="ff0000"/>
          <w:sz w:val="22"/>
          <w:szCs w:val="22"/>
        </w:rPr>
      </w:pPr>
      <w:r w:rsidDel="00000000" w:rsidR="00000000" w:rsidRPr="00000000">
        <w:rPr>
          <w:rtl w:val="0"/>
        </w:rPr>
      </w:r>
    </w:p>
    <w:sectPr>
      <w:headerReference r:id="rId6" w:type="default"/>
      <w:footerReference r:id="rId7" w:type="default"/>
      <w:pgSz w:h="16838" w:w="11906" w:orient="portrait"/>
      <w:pgMar w:bottom="1134" w:top="1417" w:left="1134" w:right="1134" w:header="359" w:footer="1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Titillium Web">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pPr>
    <w:r w:rsidDel="00000000" w:rsidR="00000000" w:rsidRPr="00000000">
      <w:rPr>
        <w:rtl w:val="0"/>
      </w:rPr>
    </w:r>
  </w:p>
  <w:tbl>
    <w:tblPr>
      <w:tblStyle w:val="Table1"/>
      <w:tblW w:w="101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5"/>
      <w:gridCol w:w="3795"/>
      <w:gridCol w:w="3135"/>
      <w:tblGridChange w:id="0">
        <w:tblGrid>
          <w:gridCol w:w="3195"/>
          <w:gridCol w:w="3795"/>
          <w:gridCol w:w="313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line="276" w:lineRule="auto"/>
            <w:ind w:left="-141.73228346456688" w:firstLine="0"/>
            <w:rPr/>
          </w:pPr>
          <w:r w:rsidDel="00000000" w:rsidR="00000000" w:rsidRPr="00000000">
            <w:rPr>
              <w:rFonts w:ascii="Arial" w:cs="Arial" w:eastAsia="Arial" w:hAnsi="Arial"/>
              <w:sz w:val="22"/>
              <w:szCs w:val="22"/>
            </w:rPr>
            <w:drawing>
              <wp:inline distB="114300" distT="114300" distL="114300" distR="114300">
                <wp:extent cx="1895475" cy="723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95475" cy="723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tabs>
              <w:tab w:val="center" w:leader="none" w:pos="4819"/>
              <w:tab w:val="right" w:leader="none" w:pos="9638"/>
            </w:tabs>
            <w:jc w:val="cente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tabs>
              <w:tab w:val="center" w:leader="none" w:pos="4819"/>
              <w:tab w:val="right" w:leader="none" w:pos="9638"/>
            </w:tabs>
            <w:jc w:val="center"/>
            <w:rPr/>
          </w:pP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itilliumWeb-regular.ttf"/><Relationship Id="rId2" Type="http://schemas.openxmlformats.org/officeDocument/2006/relationships/font" Target="fonts/TitilliumWeb-bold.ttf"/><Relationship Id="rId3" Type="http://schemas.openxmlformats.org/officeDocument/2006/relationships/font" Target="fonts/TitilliumWeb-italic.ttf"/><Relationship Id="rId4" Type="http://schemas.openxmlformats.org/officeDocument/2006/relationships/font" Target="fonts/TitilliumWeb-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