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hd w:val="clear" w:color="auto" w:fill="ffffff"/>
        <w:spacing w:after="200" w:before="200" w:line="240" w:lineRule="auto"/>
        <w:ind/>
        <w:jc w:val="both"/>
        <w:rPr>
          <w:rFonts w:ascii="Titillium Web" w:hAnsi="Titillium Web" w:eastAsia="Titillium Web" w:cs="Titillium Web"/>
          <w:b/>
          <w:color w:val="222222"/>
        </w:rPr>
      </w:pPr>
      <w:r>
        <w:rPr>
          <w:rFonts w:ascii="Titillium Web" w:hAnsi="Titillium Web" w:eastAsia="Titillium Web" w:cs="Titillium Web"/>
          <w:b/>
          <w:color w:val="222222"/>
          <w:rtl w:val="0"/>
        </w:rPr>
        <w:t xml:space="preserve">Approvato il Programma Attuativo 2025 del Piano di Zona per la Salute e il Benessere Sociale:</w:t>
      </w:r>
      <w:r>
        <w:rPr>
          <w:rFonts w:ascii="Titillium Web" w:hAnsi="Titillium Web" w:eastAsia="Titillium Web" w:cs="Titillium Web"/>
          <w:color w:val="222222"/>
          <w:rtl w:val="0"/>
        </w:rPr>
        <w:br/>
      </w:r>
      <w:r>
        <w:rPr>
          <w:rFonts w:ascii="Titillium Web" w:hAnsi="Titillium Web" w:eastAsia="Titillium Web" w:cs="Titillium Web"/>
          <w:b/>
          <w:color w:val="222222"/>
          <w:rtl w:val="0"/>
        </w:rPr>
        <w:t xml:space="preserve">oltre 53 milioni di euro per i servizi del Distretto di Carpi.</w:t>
      </w:r>
      <w:r>
        <w:rPr>
          <w:rFonts w:ascii="Titillium Web" w:hAnsi="Titillium Web" w:eastAsia="Titillium Web" w:cs="Titillium Web"/>
          <w:b/>
          <w:color w:val="222222"/>
        </w:rPr>
      </w:r>
    </w:p>
    <w:p>
      <w:pPr>
        <w:widowControl w:val="false"/>
        <w:pBdr/>
        <w:shd w:val="clear" w:color="auto" w:fill="ffffff"/>
        <w:spacing w:after="200" w:before="200" w:line="240" w:lineRule="auto"/>
        <w:ind/>
        <w:jc w:val="both"/>
        <w:rPr>
          <w:rFonts w:ascii="Titillium Web" w:hAnsi="Titillium Web" w:eastAsia="Titillium Web" w:cs="Titillium Web"/>
          <w:color w:val="222222"/>
        </w:rPr>
      </w:pPr>
      <w:r>
        <w:rPr>
          <w:rtl w:val="0"/>
        </w:rPr>
      </w:r>
      <w:r>
        <w:rPr>
          <w:rFonts w:ascii="Titillium Web" w:hAnsi="Titillium Web" w:eastAsia="Titillium Web" w:cs="Titillium Web"/>
          <w:color w:val="222222"/>
        </w:rPr>
      </w:r>
    </w:p>
    <w:p>
      <w:pPr>
        <w:widowControl w:val="false"/>
        <w:pBdr/>
        <w:shd w:val="clear" w:color="auto" w:fill="ffffff"/>
        <w:spacing w:after="200" w:before="200" w:line="240" w:lineRule="auto"/>
        <w:ind/>
        <w:jc w:val="both"/>
        <w:rPr>
          <w:rFonts w:ascii="Titillium Web" w:hAnsi="Titillium Web" w:eastAsia="Titillium Web" w:cs="Titillium Web"/>
          <w:b/>
        </w:rPr>
      </w:pPr>
      <w:r>
        <w:rPr>
          <w:rFonts w:ascii="Titillium Web" w:hAnsi="Titillium Web" w:eastAsia="Titillium Web" w:cs="Titillium Web"/>
          <w:color w:val="222222"/>
          <w:rtl w:val="0"/>
        </w:rPr>
        <w:t xml:space="preserve">Carpi, 30 settembre 2025 – È stato approvato dalla Giunta dell’Unione delle Terre d’Argine, riunita lo scorso 24 settembre insieme alla direttrice del Distretto Sanitario di Carpi, </w:t>
      </w:r>
      <w:r>
        <w:rPr>
          <w:rFonts w:ascii="Titillium Web" w:hAnsi="Titillium Web" w:eastAsia="Titillium Web" w:cs="Titillium Web"/>
          <w:b/>
          <w:color w:val="222222"/>
          <w:rtl w:val="0"/>
        </w:rPr>
        <w:t xml:space="preserve">Stefania Ascari</w:t>
      </w:r>
      <w:r>
        <w:rPr>
          <w:rFonts w:ascii="Titillium Web" w:hAnsi="Titillium Web" w:eastAsia="Titillium Web" w:cs="Titillium Web"/>
          <w:color w:val="222222"/>
          <w:rtl w:val="0"/>
        </w:rPr>
        <w:t xml:space="preserve">, il Programma Attuativo 2025 del Piano di Zona per la Salute e il Benessere Sociale.</w:t>
      </w:r>
      <w:r>
        <w:rPr>
          <w:rtl w:val="0"/>
        </w:rPr>
      </w:r>
      <w:r>
        <w:rPr>
          <w:rFonts w:ascii="Titillium Web" w:hAnsi="Titillium Web" w:eastAsia="Titillium Web" w:cs="Titillium Web"/>
          <w:b/>
        </w:rPr>
      </w:r>
    </w:p>
    <w:p>
      <w:pPr>
        <w:widowControl w:val="false"/>
        <w:pBdr/>
        <w:shd w:val="clear" w:color="auto" w:fill="ffffff"/>
        <w:spacing w:after="200" w:before="200" w:line="240" w:lineRule="auto"/>
        <w:ind/>
        <w:jc w:val="both"/>
        <w:rPr>
          <w:rFonts w:ascii="Titillium Web" w:hAnsi="Titillium Web" w:eastAsia="Titillium Web" w:cs="Titillium Web"/>
          <w:color w:val="222222"/>
        </w:rPr>
      </w:pPr>
      <w:r>
        <w:rPr>
          <w:rFonts w:ascii="Titillium Web" w:hAnsi="Titillium Web" w:eastAsia="Titillium Web" w:cs="Titillium Web"/>
          <w:color w:val="222222"/>
          <w:rtl w:val="0"/>
        </w:rPr>
        <w:t xml:space="preserve">Il Pian</w:t>
      </w:r>
      <w:r>
        <w:rPr>
          <w:rFonts w:ascii="Titillium Web" w:hAnsi="Titillium Web" w:eastAsia="Titillium Web" w:cs="Titillium Web"/>
          <w:color w:val="222222"/>
          <w:rtl w:val="0"/>
        </w:rPr>
        <w:t xml:space="preserve">o di Zona è lo strumento di programmazione che definisce servizi e interventi per il benessere delle comunità, con l’obiettivo di dare risposte concrete ai bisogni dei cittadini in tema di welfare. Si tratta di un percorso che nasce dal Piano socio-sanitar</w:t>
      </w:r>
      <w:r>
        <w:rPr>
          <w:rFonts w:ascii="Titillium Web" w:hAnsi="Titillium Web" w:eastAsia="Titillium Web" w:cs="Titillium Web"/>
          <w:color w:val="222222"/>
          <w:rtl w:val="0"/>
        </w:rPr>
        <w:t xml:space="preserve">io regionale, ma che a livello locale si traduce in azioni mirate contro l’esclusione, la povertà e la fragilità, promuovendo l’integrazione tra sanità e sociale, la coprogettazione con il Terzo Settore e una costante attenzione ai nuovi bisogni emergenti.</w:t>
      </w:r>
      <w:r>
        <w:rPr>
          <w:rFonts w:ascii="Titillium Web" w:hAnsi="Titillium Web" w:eastAsia="Titillium Web" w:cs="Titillium Web"/>
          <w:color w:val="222222"/>
        </w:rPr>
      </w:r>
    </w:p>
    <w:p>
      <w:pPr>
        <w:widowControl w:val="false"/>
        <w:pBdr/>
        <w:shd w:val="clear" w:color="auto" w:fill="ffffff"/>
        <w:spacing w:after="200" w:before="200" w:line="240" w:lineRule="auto"/>
        <w:ind/>
        <w:jc w:val="both"/>
        <w:rPr>
          <w:rFonts w:ascii="Titillium Web" w:hAnsi="Titillium Web" w:eastAsia="Titillium Web" w:cs="Titillium Web"/>
          <w:color w:val="222222"/>
          <w:highlight w:val="white"/>
        </w:rPr>
      </w:pPr>
      <w:r>
        <w:rPr>
          <w:rFonts w:ascii="Titillium Web" w:hAnsi="Titillium Web" w:eastAsia="Titillium Web" w:cs="Titillium Web"/>
          <w:color w:val="222222"/>
          <w:highlight w:val="white"/>
          <w:rtl w:val="0"/>
        </w:rPr>
        <w:t xml:space="preserve">Per il 2025 il Programma prevede un investimento complessivo di </w:t>
      </w:r>
      <w:r>
        <w:rPr>
          <w:rFonts w:ascii="Titillium Web" w:hAnsi="Titillium Web" w:eastAsia="Titillium Web" w:cs="Titillium Web"/>
          <w:b/>
          <w:color w:val="222222"/>
          <w:highlight w:val="white"/>
          <w:rtl w:val="0"/>
        </w:rPr>
        <w:t xml:space="preserve">53.638.750,56 euro</w:t>
      </w:r>
      <w:r>
        <w:rPr>
          <w:rFonts w:ascii="Titillium Web" w:hAnsi="Titillium Web" w:eastAsia="Titillium Web" w:cs="Titillium Web"/>
          <w:color w:val="222222"/>
          <w:highlight w:val="white"/>
          <w:rtl w:val="0"/>
        </w:rPr>
        <w:t xml:space="preserve">, così ripartiti: </w:t>
      </w:r>
      <w:r>
        <w:rPr>
          <w:rFonts w:ascii="Titillium Web" w:hAnsi="Titillium Web" w:eastAsia="Titillium Web" w:cs="Titillium Web"/>
          <w:b/>
          <w:color w:val="222222"/>
          <w:highlight w:val="white"/>
          <w:rtl w:val="0"/>
        </w:rPr>
        <w:t xml:space="preserve">16,5 milioni per anziani, 9,5 milioni per persone con disabilità, oltre 19 milioni per minori e famiglie, 1,6 milioni per le dipendenze, 1,1 milioni per gli immigrati, 2,5 milioni per il contrasto alla povertà e 3,2 milioni per la multiutenza</w:t>
      </w:r>
      <w:r>
        <w:rPr>
          <w:rFonts w:ascii="Titillium Web" w:hAnsi="Titillium Web" w:eastAsia="Titillium Web" w:cs="Titillium Web"/>
          <w:color w:val="222222"/>
          <w:highlight w:val="white"/>
          <w:rtl w:val="0"/>
        </w:rPr>
        <w:t xml:space="preserve">. Una quota significativa, pari a </w:t>
      </w:r>
      <w:r>
        <w:rPr>
          <w:rFonts w:ascii="Titillium Web" w:hAnsi="Titillium Web" w:eastAsia="Titillium Web" w:cs="Titillium Web"/>
          <w:b/>
          <w:color w:val="222222"/>
          <w:highlight w:val="white"/>
          <w:rtl w:val="0"/>
        </w:rPr>
        <w:t xml:space="preserve">14,5 milioni di euro</w:t>
      </w:r>
      <w:r>
        <w:rPr>
          <w:rFonts w:ascii="Titillium Web" w:hAnsi="Titillium Web" w:eastAsia="Titillium Web" w:cs="Titillium Web"/>
          <w:color w:val="222222"/>
          <w:highlight w:val="white"/>
          <w:rtl w:val="0"/>
        </w:rPr>
        <w:t xml:space="preserve">, è finanziata direttamente dall’Unione delle Terre d’Argine, mentre la restante parte proviene da Regione Emilia-Romagna, Azienda USL e Ministeri competenti.</w:t>
      </w:r>
      <w:r>
        <w:rPr>
          <w:rFonts w:ascii="Titillium Web" w:hAnsi="Titillium Web" w:eastAsia="Titillium Web" w:cs="Titillium Web"/>
          <w:color w:val="222222"/>
          <w:highlight w:val="white"/>
        </w:rPr>
      </w:r>
    </w:p>
    <w:p>
      <w:pPr>
        <w:widowControl w:val="false"/>
        <w:pBdr/>
        <w:shd w:val="clear" w:color="auto" w:fill="ffffff"/>
        <w:spacing w:after="200" w:before="200" w:line="240" w:lineRule="auto"/>
        <w:ind/>
        <w:jc w:val="both"/>
        <w:rPr>
          <w:rFonts w:ascii="Titillium Web" w:hAnsi="Titillium Web" w:eastAsia="Titillium Web" w:cs="Titillium Web"/>
          <w:color w:val="222222"/>
          <w:highlight w:val="white"/>
        </w:rPr>
      </w:pPr>
      <w:r>
        <w:rPr>
          <w:rFonts w:ascii="Titillium Web" w:hAnsi="Titillium Web" w:eastAsia="Titillium Web" w:cs="Titillium Web"/>
          <w:color w:val="222222"/>
          <w:highlight w:val="white"/>
          <w:rtl w:val="0"/>
        </w:rPr>
        <w:t xml:space="preserve">La programmazione trova pieno significato se letta insieme ai dati di attività del 2024, che danno la misura concreta delle persone raggiunte dai servizi. Lo scorso anno, ad esempio, gli sportelli sociali hanno registrato </w:t>
      </w:r>
      <w:r>
        <w:rPr>
          <w:rFonts w:ascii="Titillium Web" w:hAnsi="Titillium Web" w:eastAsia="Titillium Web" w:cs="Titillium Web"/>
          <w:b/>
          <w:color w:val="222222"/>
          <w:highlight w:val="white"/>
          <w:rtl w:val="0"/>
        </w:rPr>
        <w:t xml:space="preserve">5.611 contatti</w:t>
      </w:r>
      <w:r>
        <w:rPr>
          <w:rFonts w:ascii="Titillium Web" w:hAnsi="Titillium Web" w:eastAsia="Titillium Web" w:cs="Titillium Web"/>
          <w:color w:val="222222"/>
          <w:highlight w:val="white"/>
          <w:rtl w:val="0"/>
        </w:rPr>
        <w:t xml:space="preserve">, mentre i contributi economici hanno coinvolto </w:t>
      </w:r>
      <w:r>
        <w:rPr>
          <w:rFonts w:ascii="Titillium Web" w:hAnsi="Titillium Web" w:eastAsia="Titillium Web" w:cs="Titillium Web"/>
          <w:b/>
          <w:color w:val="222222"/>
          <w:highlight w:val="white"/>
          <w:rtl w:val="0"/>
        </w:rPr>
        <w:t xml:space="preserve">1.618 nuclei familiari per un totale di 6.533 persone</w:t>
      </w:r>
      <w:r>
        <w:rPr>
          <w:rFonts w:ascii="Titillium Web" w:hAnsi="Titillium Web" w:eastAsia="Titillium Web" w:cs="Titillium Web"/>
          <w:color w:val="222222"/>
          <w:highlight w:val="white"/>
          <w:rtl w:val="0"/>
        </w:rPr>
        <w:t xml:space="preserve">, tra adulti, anziani, </w:t>
      </w:r>
      <w:r>
        <w:rPr>
          <w:color w:val="222222"/>
          <w:rtl w:val="0"/>
        </w:rPr>
        <w:t xml:space="preserve">persone con disabilità</w:t>
      </w:r>
      <w:r>
        <w:rPr>
          <w:rFonts w:ascii="Titillium Web" w:hAnsi="Titillium Web" w:eastAsia="Titillium Web" w:cs="Titillium Web"/>
          <w:color w:val="222222"/>
          <w:highlight w:val="white"/>
          <w:rtl w:val="0"/>
        </w:rPr>
        <w:t xml:space="preserve"> e famiglie con minori. In particolare, parliamo di </w:t>
      </w:r>
      <w:r>
        <w:rPr>
          <w:rFonts w:ascii="Titillium Web" w:hAnsi="Titillium Web" w:eastAsia="Titillium Web" w:cs="Titillium Web"/>
          <w:b/>
          <w:color w:val="222222"/>
          <w:highlight w:val="white"/>
          <w:rtl w:val="0"/>
        </w:rPr>
        <w:t xml:space="preserve">oltre 700 anziani assistiti</w:t>
      </w:r>
      <w:r>
        <w:rPr>
          <w:rFonts w:ascii="Titillium Web" w:hAnsi="Titillium Web" w:eastAsia="Titillium Web" w:cs="Titillium Web"/>
          <w:color w:val="222222"/>
          <w:highlight w:val="white"/>
          <w:rtl w:val="0"/>
        </w:rPr>
        <w:t xml:space="preserve"> in CRA, centri diurni, a domicilio o con ricoveri di sollievo, e assegni di cura; </w:t>
      </w:r>
      <w:r>
        <w:rPr>
          <w:rFonts w:ascii="Titillium Web" w:hAnsi="Titillium Web" w:eastAsia="Titillium Web" w:cs="Titillium Web"/>
          <w:b/>
          <w:color w:val="222222"/>
          <w:highlight w:val="white"/>
          <w:rtl w:val="0"/>
        </w:rPr>
        <w:t xml:space="preserve">277 persone con disabilità</w:t>
      </w:r>
      <w:r>
        <w:rPr>
          <w:rFonts w:ascii="Titillium Web" w:hAnsi="Titillium Web" w:eastAsia="Titillium Web" w:cs="Titillium Web"/>
          <w:color w:val="222222"/>
          <w:highlight w:val="white"/>
          <w:rtl w:val="0"/>
        </w:rPr>
        <w:t xml:space="preserve">, ospitate in strutture residenziali, con accesso a centri diurni o assistenza domiciliare, con supporto socio occupazionale, sollievi per le famiglie e assegni di cura. Rilevante l’impegno nella </w:t>
      </w:r>
      <w:r>
        <w:rPr>
          <w:rFonts w:ascii="Titillium Web" w:hAnsi="Titillium Web" w:eastAsia="Titillium Web" w:cs="Titillium Web"/>
          <w:b/>
          <w:color w:val="222222"/>
          <w:highlight w:val="white"/>
          <w:rtl w:val="0"/>
        </w:rPr>
        <w:t xml:space="preserve">tutela dei minori</w:t>
      </w:r>
      <w:r>
        <w:rPr>
          <w:rFonts w:ascii="Titillium Web" w:hAnsi="Titillium Web" w:eastAsia="Titillium Web" w:cs="Titillium Web"/>
          <w:color w:val="222222"/>
          <w:highlight w:val="white"/>
          <w:rtl w:val="0"/>
        </w:rPr>
        <w:t xml:space="preserve">, con oltre </w:t>
      </w:r>
      <w:r>
        <w:rPr>
          <w:rFonts w:ascii="Titillium Web" w:hAnsi="Titillium Web" w:eastAsia="Titillium Web" w:cs="Titillium Web"/>
          <w:b/>
          <w:highlight w:val="white"/>
          <w:rtl w:val="0"/>
        </w:rPr>
        <w:t xml:space="preserve">1.200 persone afferenti a 152 nuclei familiari </w:t>
      </w:r>
      <w:r>
        <w:rPr>
          <w:rFonts w:ascii="Titillium Web" w:hAnsi="Titillium Web" w:eastAsia="Titillium Web" w:cs="Titillium Web"/>
          <w:highlight w:val="white"/>
          <w:rtl w:val="0"/>
        </w:rPr>
        <w:t xml:space="preserve">in</w:t>
      </w:r>
      <w:r>
        <w:rPr>
          <w:rFonts w:ascii="Titillium Web" w:hAnsi="Titillium Web" w:eastAsia="Titillium Web" w:cs="Titillium Web"/>
          <w:b/>
          <w:highlight w:val="white"/>
          <w:rtl w:val="0"/>
        </w:rPr>
        <w:t xml:space="preserve"> </w:t>
      </w:r>
      <w:r>
        <w:rPr>
          <w:rFonts w:ascii="Titillium Web" w:hAnsi="Titillium Web" w:eastAsia="Titillium Web" w:cs="Titillium Web"/>
          <w:highlight w:val="white"/>
          <w:rtl w:val="0"/>
        </w:rPr>
        <w:t xml:space="preserve">situazioni di difficoltà, con </w:t>
      </w:r>
      <w:r>
        <w:rPr>
          <w:rFonts w:ascii="Titillium Web" w:hAnsi="Titillium Web" w:eastAsia="Titillium Web" w:cs="Titillium Web"/>
          <w:b/>
          <w:highlight w:val="white"/>
          <w:rtl w:val="0"/>
        </w:rPr>
        <w:t xml:space="preserve">195 minori inseriti in percorsi educativi e riabilitativ</w:t>
      </w:r>
      <w:r>
        <w:rPr>
          <w:rFonts w:ascii="Titillium Web" w:hAnsi="Titillium Web" w:eastAsia="Titillium Web" w:cs="Titillium Web"/>
          <w:b/>
          <w:highlight w:val="white"/>
          <w:rtl w:val="0"/>
        </w:rPr>
        <w:t xml:space="preserve">i</w:t>
      </w:r>
      <w:r>
        <w:rPr>
          <w:rFonts w:ascii="Titillium Web" w:hAnsi="Titillium Web" w:eastAsia="Titillium Web" w:cs="Titillium Web"/>
          <w:b/>
          <w:color w:val="222222"/>
          <w:highlight w:val="white"/>
          <w:rtl w:val="0"/>
        </w:rPr>
        <w:t xml:space="preserve">, </w:t>
      </w:r>
      <w:r>
        <w:rPr>
          <w:rFonts w:ascii="Titillium Web" w:hAnsi="Titillium Web" w:eastAsia="Titillium Web" w:cs="Titillium Web"/>
          <w:color w:val="222222"/>
          <w:highlight w:val="white"/>
          <w:rtl w:val="0"/>
        </w:rPr>
        <w:t xml:space="preserve">e nel supporto </w:t>
      </w:r>
      <w:r>
        <w:rPr>
          <w:rFonts w:ascii="Titillium Web" w:hAnsi="Titillium Web" w:eastAsia="Titillium Web" w:cs="Titillium Web"/>
          <w:b/>
          <w:color w:val="222222"/>
          <w:highlight w:val="white"/>
          <w:rtl w:val="0"/>
        </w:rPr>
        <w:t xml:space="preserve">di 34 minori in comunità e 31 minori stranieri non accompagnati. </w:t>
      </w:r>
      <w:r>
        <w:rPr>
          <w:rFonts w:ascii="Titillium Web" w:hAnsi="Titillium Web" w:eastAsia="Titillium Web" w:cs="Titillium Web"/>
          <w:color w:val="222222"/>
          <w:highlight w:val="white"/>
          <w:rtl w:val="0"/>
        </w:rPr>
        <w:t xml:space="preserve">Importante anche la leva dell’inclusione lavorativa: nel 2024 sono stati attivati </w:t>
      </w:r>
      <w:r>
        <w:rPr>
          <w:rFonts w:ascii="Titillium Web" w:hAnsi="Titillium Web" w:eastAsia="Titillium Web" w:cs="Titillium Web"/>
          <w:b/>
          <w:color w:val="222222"/>
          <w:highlight w:val="white"/>
          <w:rtl w:val="0"/>
        </w:rPr>
        <w:t xml:space="preserve">176 tirocini formativi</w:t>
      </w:r>
      <w:r>
        <w:rPr>
          <w:rFonts w:ascii="Titillium Web" w:hAnsi="Titillium Web" w:eastAsia="Titillium Web" w:cs="Titillium Web"/>
          <w:color w:val="222222"/>
          <w:highlight w:val="white"/>
          <w:rtl w:val="0"/>
        </w:rPr>
        <w:t xml:space="preserve"> in ambito sanitario, sociale e con il programma GOL.</w:t>
      </w:r>
      <w:r>
        <w:rPr>
          <w:rFonts w:ascii="Titillium Web" w:hAnsi="Titillium Web" w:eastAsia="Titillium Web" w:cs="Titillium Web"/>
          <w:color w:val="222222"/>
          <w:highlight w:val="white"/>
        </w:rPr>
      </w:r>
    </w:p>
    <w:p>
      <w:pPr>
        <w:widowControl w:val="false"/>
        <w:pBdr/>
        <w:shd w:val="clear" w:color="auto" w:fill="ffffff"/>
        <w:spacing w:after="200" w:before="200" w:line="240" w:lineRule="auto"/>
        <w:ind/>
        <w:jc w:val="both"/>
        <w:rPr>
          <w:rFonts w:ascii="Titillium Web" w:hAnsi="Titillium Web" w:eastAsia="Titillium Web" w:cs="Titillium Web"/>
          <w:color w:val="222222"/>
          <w:highlight w:val="white"/>
        </w:rPr>
      </w:pPr>
      <w:r>
        <w:rPr>
          <w:rFonts w:ascii="Titillium Web" w:hAnsi="Titillium Web" w:eastAsia="Titillium Web" w:cs="Titillium Web"/>
          <w:color w:val="222222"/>
          <w:highlight w:val="white"/>
          <w:rtl w:val="0"/>
        </w:rPr>
        <w:t xml:space="preserve">“</w:t>
      </w:r>
      <w:r>
        <w:rPr>
          <w:rFonts w:ascii="Titillium Web" w:hAnsi="Titillium Web" w:eastAsia="Titillium Web" w:cs="Titillium Web"/>
          <w:i/>
          <w:color w:val="222222"/>
          <w:highlight w:val="white"/>
          <w:rtl w:val="0"/>
        </w:rPr>
        <w:t xml:space="preserve">Presentiamo numeri che non sono solo cifre di bilancio, ma rappresentano il cuore dell’azione dell’Unione a tutela dei cittadini</w:t>
      </w:r>
      <w:r>
        <w:rPr>
          <w:rFonts w:ascii="Titillium Web" w:hAnsi="Titillium Web" w:eastAsia="Titillium Web" w:cs="Titillium Web"/>
          <w:color w:val="222222"/>
          <w:highlight w:val="white"/>
          <w:rtl w:val="0"/>
        </w:rPr>
        <w:t xml:space="preserve">” – sottolinea il sindaco di Carpi e assessore alle Politiche sociali dell’Unione, </w:t>
      </w:r>
      <w:r>
        <w:rPr>
          <w:rFonts w:ascii="Titillium Web" w:hAnsi="Titillium Web" w:eastAsia="Titillium Web" w:cs="Titillium Web"/>
          <w:b/>
          <w:color w:val="222222"/>
          <w:highlight w:val="white"/>
          <w:rtl w:val="0"/>
        </w:rPr>
        <w:t xml:space="preserve">Riccardo Righi</w:t>
      </w:r>
      <w:r>
        <w:rPr>
          <w:rFonts w:ascii="Titillium Web" w:hAnsi="Titillium Web" w:eastAsia="Titillium Web" w:cs="Titillium Web"/>
          <w:color w:val="222222"/>
          <w:highlight w:val="white"/>
          <w:rtl w:val="0"/>
        </w:rPr>
        <w:t xml:space="preserve"> – “</w:t>
      </w:r>
      <w:r>
        <w:rPr>
          <w:rFonts w:ascii="Titillium Web" w:hAnsi="Titillium Web" w:eastAsia="Titillium Web" w:cs="Titillium Web"/>
          <w:i/>
          <w:color w:val="222222"/>
          <w:highlight w:val="white"/>
          <w:rtl w:val="0"/>
        </w:rPr>
        <w:t xml:space="preserve">Dietro ogni voce di spesa ci sono persone, famiglie, minori, anziani, persone con disabilità, a cui garantiamo sostegno, accompagnamento e opportunità. Il nostro lavoro si fonda su una rete forte: con l’AUSL per gli aspetti san</w:t>
      </w:r>
      <w:r>
        <w:rPr>
          <w:rFonts w:ascii="Titillium Web" w:hAnsi="Titillium Web" w:eastAsia="Titillium Web" w:cs="Titillium Web"/>
          <w:i/>
          <w:color w:val="222222"/>
          <w:highlight w:val="white"/>
          <w:rtl w:val="0"/>
        </w:rPr>
        <w:t xml:space="preserve">itari, con gli enti del Terzo Settore per la coprogettazione e con la partecipazione diretta della cittadinanza. È questo il segno distintivo della nostra idea di welfare, che mette al centro la comunità e la sua capacità di prendersi cura dei più fragili”</w:t>
      </w:r>
      <w:r>
        <w:rPr>
          <w:rFonts w:ascii="Titillium Web" w:hAnsi="Titillium Web" w:eastAsia="Titillium Web" w:cs="Titillium Web"/>
          <w:color w:val="222222"/>
          <w:highlight w:val="white"/>
          <w:rtl w:val="0"/>
        </w:rPr>
        <w:t xml:space="preserve">.</w:t>
      </w:r>
      <w:r>
        <w:rPr>
          <w:rFonts w:ascii="Titillium Web" w:hAnsi="Titillium Web" w:eastAsia="Titillium Web" w:cs="Titillium Web"/>
          <w:color w:val="222222"/>
          <w:highlight w:val="white"/>
        </w:rPr>
      </w:r>
    </w:p>
    <w:p>
      <w:pPr>
        <w:widowControl w:val="false"/>
        <w:pBdr/>
        <w:shd w:val="clear" w:color="auto" w:fill="ffffff"/>
        <w:spacing w:after="200" w:before="200" w:line="240" w:lineRule="auto"/>
        <w:ind/>
        <w:jc w:val="both"/>
        <w:rPr>
          <w:rFonts w:ascii="Titillium Web" w:hAnsi="Titillium Web" w:eastAsia="Titillium Web" w:cs="Titillium Web"/>
          <w:i/>
          <w:color w:val="222222"/>
        </w:rPr>
      </w:pPr>
      <w:r>
        <w:rPr>
          <w:rFonts w:ascii="Titillium Web" w:hAnsi="Titillium Web" w:eastAsia="Titillium Web" w:cs="Titillium Web"/>
          <w:i/>
          <w:color w:val="222222"/>
          <w:rtl w:val="0"/>
        </w:rPr>
        <w:t xml:space="preserve">«Il Piano di Zona è il risultato concreto di un lavoro corale che vede istituzioni, servizi sanitari, enti locali e Terzo Settore operare quotidianamente fianco a fianco.”  </w:t>
      </w:r>
      <w:r>
        <w:rPr>
          <w:rFonts w:ascii="Titillium Web" w:hAnsi="Titillium Web" w:eastAsia="Titillium Web" w:cs="Titillium Web"/>
          <w:color w:val="222222"/>
          <w:rtl w:val="0"/>
        </w:rPr>
        <w:t xml:space="preserve">prosegue </w:t>
      </w:r>
      <w:r>
        <w:rPr>
          <w:rFonts w:ascii="Titillium Web" w:hAnsi="Titillium Web" w:eastAsia="Titillium Web" w:cs="Titillium Web"/>
          <w:color w:val="222222"/>
          <w:highlight w:val="white"/>
          <w:rtl w:val="0"/>
        </w:rPr>
        <w:t xml:space="preserve"> </w:t>
      </w:r>
      <w:r>
        <w:rPr>
          <w:rFonts w:ascii="Titillium Web" w:hAnsi="Titillium Web" w:eastAsia="Titillium Web" w:cs="Titillium Web"/>
          <w:b/>
          <w:color w:val="222222"/>
          <w:highlight w:val="white"/>
          <w:rtl w:val="0"/>
        </w:rPr>
        <w:t xml:space="preserve">Stefania Ascari</w:t>
      </w:r>
      <w:r>
        <w:rPr>
          <w:rFonts w:ascii="Titillium Web" w:hAnsi="Titillium Web" w:eastAsia="Titillium Web" w:cs="Titillium Web"/>
          <w:color w:val="222222"/>
          <w:highlight w:val="white"/>
          <w:rtl w:val="0"/>
        </w:rPr>
        <w:t xml:space="preserve">, Direttrice del distretto sanitario di Carpi.</w:t>
      </w:r>
      <w:r>
        <w:rPr>
          <w:rFonts w:ascii="Titillium Web" w:hAnsi="Titillium Web" w:eastAsia="Titillium Web" w:cs="Titillium Web"/>
          <w:i/>
          <w:color w:val="222222"/>
          <w:rtl w:val="0"/>
        </w:rPr>
        <w:t xml:space="preserve"> “La complessità dei bisogni che intercettiamo richiede risposte integrate, e solo attraverso una collaborazione autentica e continua è possibile garantire ai cittadini</w:t>
      </w:r>
      <w:r>
        <w:rPr>
          <w:rFonts w:ascii="Titillium Web" w:hAnsi="Titillium Web" w:eastAsia="Titillium Web" w:cs="Titillium Web"/>
          <w:i/>
          <w:color w:val="222222"/>
          <w:rtl w:val="0"/>
        </w:rPr>
        <w:t xml:space="preserve"> interventi efficaci e tempestivi. Questo programma attuativo non è solo una pianificazione di risorse, ma la testimonianza di una Comunità che sceglie di prendersi cura di sé stessa mettendo in rete competenze, professionalità e responsabilità condivise.»</w:t>
      </w:r>
      <w:r>
        <w:rPr>
          <w:rFonts w:ascii="Titillium Web" w:hAnsi="Titillium Web" w:eastAsia="Titillium Web" w:cs="Titillium Web"/>
          <w:i/>
          <w:color w:val="222222"/>
        </w:rPr>
      </w:r>
    </w:p>
    <w:p>
      <w:pPr>
        <w:widowControl w:val="false"/>
        <w:pBdr/>
        <w:shd w:val="clear" w:color="auto" w:fill="ffffff"/>
        <w:spacing w:after="100" w:line="240" w:lineRule="auto"/>
        <w:ind w:left="58"/>
        <w:jc w:val="both"/>
        <w:rPr>
          <w:rFonts w:ascii="Titillium Web" w:hAnsi="Titillium Web" w:eastAsia="Titillium Web" w:cs="Titillium Web"/>
        </w:rPr>
      </w:pPr>
      <w:r>
        <w:rPr>
          <w:rtl w:val="0"/>
        </w:rPr>
      </w:r>
      <w:r>
        <w:rPr>
          <w:rFonts w:ascii="Titillium Web" w:hAnsi="Titillium Web" w:eastAsia="Titillium Web" w:cs="Titillium Web"/>
        </w:rPr>
      </w:r>
    </w:p>
    <w:sectPr>
      <w:headerReference w:type="default" r:id="rId8"/>
      <w:headerReference w:type="first" r:id="rId9"/>
      <w:footerReference w:type="first" r:id="rId10"/>
      <w:footnotePr/>
      <w:endnotePr/>
      <w:type w:val="nextPage"/>
      <w:pgSz w:h="16834" w:orient="portrait" w:w="11909"/>
      <w:pgMar w:top="1440" w:right="1083" w:bottom="1440" w:left="1083" w:header="510" w:footer="566" w:gutter="0"/>
      <w:pgNumType w:start="1"/>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eb">
    <w:panose1 w:val="05050102010205020202"/>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Pr>
        <w:rtl w:val="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firstLine="0" w:left="-141"/>
      <w:rPr/>
    </w:pPr>
    <w:r>
      <mc:AlternateContent>
        <mc:Choice Requires="wpg">
          <w:drawing>
            <wp:inline xmlns:wp="http://schemas.openxmlformats.org/drawingml/2006/wordprocessingDrawing" distT="0" distB="0" distL="0" distR="0">
              <wp:extent cx="1991723" cy="757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
                      <a:srcRect l="0" t="0" r="0" b="0"/>
                      <a:stretch/>
                    </pic:blipFill>
                    <pic:spPr bwMode="auto">
                      <a:xfrm>
                        <a:off x="0" y="0"/>
                        <a:ext cx="1991723" cy="757088"/>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6.83pt;height:59.61pt;mso-wrap-distance-left:0.00pt;mso-wrap-distance-top:0.00pt;mso-wrap-distance-right:0.00pt;mso-wrap-distance-bottom:0.00pt;z-index:1;">
              <v:imagedata r:id="rId1" o:title="" croptop="0f" cropleft="0f" cropbottom="0f" cropright="0f"/>
              <o:lock v:ext="edit" rotation="t"/>
            </v:shape>
          </w:pict>
        </mc:Fallback>
      </mc:AlternateContent>
    </w:r>
    <w:r>
      <w:rPr>
        <w:rtl w:val="0"/>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firstLine="0" w:left="-141"/>
      <w:rPr/>
    </w:pPr>
    <w:r>
      <mc:AlternateContent>
        <mc:Choice Requires="wpg">
          <w:drawing>
            <wp:inline xmlns:wp="http://schemas.openxmlformats.org/drawingml/2006/wordprocessingDrawing" distT="0" distB="0" distL="0" distR="0">
              <wp:extent cx="2138363" cy="81614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
                      <a:srcRect l="0" t="0" r="0" b="0"/>
                      <a:stretch/>
                    </pic:blipFill>
                    <pic:spPr bwMode="auto">
                      <a:xfrm>
                        <a:off x="0" y="0"/>
                        <a:ext cx="2138363" cy="816142"/>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68.38pt;height:64.26pt;mso-wrap-distance-left:0.00pt;mso-wrap-distance-top:0.00pt;mso-wrap-distance-right:0.00pt;mso-wrap-distance-bottom:0.00pt;z-index:1;">
              <v:imagedata r:id="rId1" o:title="" croptop="0f" cropleft="0f" cropbottom="0f" cropright="0f"/>
              <o:lock v:ext="edit" rotation="t"/>
            </v:shape>
          </w:pict>
        </mc:Fallback>
      </mc:AlternateContent>
    </w:r>
    <w:r>
      <w:rPr>
        <w:rtl w:val="0"/>
      </w:r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it" w:eastAsia="zh-CN"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24"/>
    <w:next w:val="72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4"/>
    <w:next w:val="72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4"/>
    <w:next w:val="72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25"/>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26"/>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27"/>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28"/>
    <w:uiPriority w:val="9"/>
    <w:pPr>
      <w:pBdr/>
      <w:spacing/>
      <w:ind/>
    </w:pPr>
    <w:rPr>
      <w:rFonts w:ascii="Arial" w:hAnsi="Arial" w:eastAsia="Arial" w:cs="Arial"/>
      <w:i/>
      <w:iCs/>
      <w:color w:val="0f4761" w:themeColor="accent1" w:themeShade="BF"/>
    </w:rPr>
  </w:style>
  <w:style w:type="character" w:styleId="154">
    <w:name w:val="Heading 5 Char"/>
    <w:basedOn w:val="148"/>
    <w:link w:val="729"/>
    <w:uiPriority w:val="9"/>
    <w:pPr>
      <w:pBdr/>
      <w:spacing/>
      <w:ind/>
    </w:pPr>
    <w:rPr>
      <w:rFonts w:ascii="Arial" w:hAnsi="Arial" w:eastAsia="Arial" w:cs="Arial"/>
      <w:color w:val="0f4761" w:themeColor="accent1" w:themeShade="BF"/>
    </w:rPr>
  </w:style>
  <w:style w:type="character" w:styleId="155">
    <w:name w:val="Heading 6 Char"/>
    <w:basedOn w:val="148"/>
    <w:link w:val="730"/>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31"/>
    <w:uiPriority w:val="10"/>
    <w:pPr>
      <w:pBdr/>
      <w:spacing/>
      <w:ind/>
    </w:pPr>
    <w:rPr>
      <w:rFonts w:ascii="Arial" w:hAnsi="Arial" w:eastAsia="Arial" w:cs="Arial"/>
      <w:spacing w:val="-10"/>
      <w:sz w:val="56"/>
      <w:szCs w:val="56"/>
    </w:rPr>
  </w:style>
  <w:style w:type="character" w:styleId="162">
    <w:name w:val="Subtitle Char"/>
    <w:basedOn w:val="148"/>
    <w:link w:val="732"/>
    <w:uiPriority w:val="11"/>
    <w:pPr>
      <w:pBdr/>
      <w:spacing/>
      <w:ind/>
    </w:pPr>
    <w:rPr>
      <w:color w:val="595959" w:themeColor="text1" w:themeTint="A6"/>
      <w:spacing w:val="15"/>
      <w:sz w:val="28"/>
      <w:szCs w:val="28"/>
    </w:rPr>
  </w:style>
  <w:style w:type="paragraph" w:styleId="163">
    <w:name w:val="Quote"/>
    <w:basedOn w:val="724"/>
    <w:next w:val="72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24"/>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24"/>
    <w:next w:val="72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24"/>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72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72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724"/>
    <w:next w:val="724"/>
    <w:uiPriority w:val="35"/>
    <w:unhideWhenUsed/>
    <w:qFormat/>
    <w:pPr>
      <w:pBdr/>
      <w:spacing w:after="200" w:line="240" w:lineRule="auto"/>
      <w:ind/>
    </w:pPr>
    <w:rPr>
      <w:i/>
      <w:iCs/>
      <w:color w:val="0e2841" w:themeColor="text2"/>
      <w:sz w:val="18"/>
      <w:szCs w:val="18"/>
    </w:rPr>
  </w:style>
  <w:style w:type="paragraph" w:styleId="181">
    <w:name w:val="footnote text"/>
    <w:basedOn w:val="72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2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24"/>
    <w:next w:val="724"/>
    <w:uiPriority w:val="39"/>
    <w:unhideWhenUsed/>
    <w:pPr>
      <w:pBdr/>
      <w:spacing w:after="100"/>
      <w:ind/>
    </w:pPr>
  </w:style>
  <w:style w:type="paragraph" w:styleId="190">
    <w:name w:val="toc 2"/>
    <w:basedOn w:val="724"/>
    <w:next w:val="724"/>
    <w:uiPriority w:val="39"/>
    <w:unhideWhenUsed/>
    <w:pPr>
      <w:pBdr/>
      <w:spacing w:after="100"/>
      <w:ind w:left="220"/>
    </w:pPr>
  </w:style>
  <w:style w:type="paragraph" w:styleId="191">
    <w:name w:val="toc 3"/>
    <w:basedOn w:val="724"/>
    <w:next w:val="724"/>
    <w:uiPriority w:val="39"/>
    <w:unhideWhenUsed/>
    <w:pPr>
      <w:pBdr/>
      <w:spacing w:after="100"/>
      <w:ind w:left="440"/>
    </w:pPr>
  </w:style>
  <w:style w:type="paragraph" w:styleId="192">
    <w:name w:val="toc 4"/>
    <w:basedOn w:val="724"/>
    <w:next w:val="724"/>
    <w:uiPriority w:val="39"/>
    <w:unhideWhenUsed/>
    <w:pPr>
      <w:pBdr/>
      <w:spacing w:after="100"/>
      <w:ind w:left="660"/>
    </w:pPr>
  </w:style>
  <w:style w:type="paragraph" w:styleId="193">
    <w:name w:val="toc 5"/>
    <w:basedOn w:val="724"/>
    <w:next w:val="724"/>
    <w:uiPriority w:val="39"/>
    <w:unhideWhenUsed/>
    <w:pPr>
      <w:pBdr/>
      <w:spacing w:after="100"/>
      <w:ind w:left="880"/>
    </w:pPr>
  </w:style>
  <w:style w:type="paragraph" w:styleId="194">
    <w:name w:val="toc 6"/>
    <w:basedOn w:val="724"/>
    <w:next w:val="724"/>
    <w:uiPriority w:val="39"/>
    <w:unhideWhenUsed/>
    <w:pPr>
      <w:pBdr/>
      <w:spacing w:after="100"/>
      <w:ind w:left="1100"/>
    </w:pPr>
  </w:style>
  <w:style w:type="paragraph" w:styleId="195">
    <w:name w:val="toc 7"/>
    <w:basedOn w:val="724"/>
    <w:next w:val="724"/>
    <w:uiPriority w:val="39"/>
    <w:unhideWhenUsed/>
    <w:pPr>
      <w:pBdr/>
      <w:spacing w:after="100"/>
      <w:ind w:left="1320"/>
    </w:pPr>
  </w:style>
  <w:style w:type="paragraph" w:styleId="196">
    <w:name w:val="toc 8"/>
    <w:basedOn w:val="724"/>
    <w:next w:val="724"/>
    <w:uiPriority w:val="39"/>
    <w:unhideWhenUsed/>
    <w:pPr>
      <w:pBdr/>
      <w:spacing w:after="100"/>
      <w:ind w:left="1540"/>
    </w:pPr>
  </w:style>
  <w:style w:type="paragraph" w:styleId="197">
    <w:name w:val="toc 9"/>
    <w:basedOn w:val="724"/>
    <w:next w:val="72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4"/>
    <w:next w:val="724"/>
    <w:uiPriority w:val="99"/>
    <w:unhideWhenUsed/>
    <w:pPr>
      <w:pBdr/>
      <w:spacing w:after="0" w:afterAutospacing="0"/>
      <w:ind/>
    </w:pPr>
  </w:style>
  <w:style w:type="table" w:styleId="723">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24" w:default="1">
    <w:name w:val="Normal"/>
    <w:pPr>
      <w:pBdr/>
      <w:spacing/>
      <w:ind/>
    </w:pPr>
  </w:style>
  <w:style w:type="paragraph" w:styleId="725">
    <w:name w:val="Heading 1"/>
    <w:basedOn w:val="724"/>
    <w:next w:val="724"/>
    <w:pPr>
      <w:keepNext w:val="true"/>
      <w:keepLines w:val="true"/>
      <w:pageBreakBefore w:val="false"/>
      <w:pBdr/>
      <w:spacing w:after="120" w:before="400"/>
      <w:ind/>
    </w:pPr>
    <w:rPr>
      <w:sz w:val="40"/>
      <w:szCs w:val="40"/>
    </w:rPr>
  </w:style>
  <w:style w:type="paragraph" w:styleId="726">
    <w:name w:val="Heading 2"/>
    <w:basedOn w:val="724"/>
    <w:next w:val="724"/>
    <w:pPr>
      <w:keepNext w:val="true"/>
      <w:keepLines w:val="true"/>
      <w:pageBreakBefore w:val="false"/>
      <w:pBdr/>
      <w:spacing w:after="120" w:before="360"/>
      <w:ind/>
    </w:pPr>
    <w:rPr>
      <w:b w:val="0"/>
      <w:sz w:val="32"/>
      <w:szCs w:val="32"/>
    </w:rPr>
  </w:style>
  <w:style w:type="paragraph" w:styleId="727">
    <w:name w:val="Heading 3"/>
    <w:basedOn w:val="724"/>
    <w:next w:val="724"/>
    <w:pPr>
      <w:keepNext w:val="true"/>
      <w:keepLines w:val="true"/>
      <w:pageBreakBefore w:val="false"/>
      <w:pBdr/>
      <w:spacing w:after="80" w:before="320"/>
      <w:ind/>
    </w:pPr>
    <w:rPr>
      <w:b w:val="0"/>
      <w:color w:val="434343"/>
      <w:sz w:val="28"/>
      <w:szCs w:val="28"/>
    </w:rPr>
  </w:style>
  <w:style w:type="paragraph" w:styleId="728">
    <w:name w:val="Heading 4"/>
    <w:basedOn w:val="724"/>
    <w:next w:val="724"/>
    <w:pPr>
      <w:keepNext w:val="true"/>
      <w:keepLines w:val="true"/>
      <w:pageBreakBefore w:val="false"/>
      <w:pBdr/>
      <w:spacing w:after="80" w:before="280"/>
      <w:ind/>
    </w:pPr>
    <w:rPr>
      <w:color w:val="666666"/>
      <w:sz w:val="24"/>
      <w:szCs w:val="24"/>
    </w:rPr>
  </w:style>
  <w:style w:type="paragraph" w:styleId="729">
    <w:name w:val="Heading 5"/>
    <w:basedOn w:val="724"/>
    <w:next w:val="724"/>
    <w:pPr>
      <w:keepNext w:val="true"/>
      <w:keepLines w:val="true"/>
      <w:pageBreakBefore w:val="false"/>
      <w:pBdr/>
      <w:spacing w:after="80" w:before="240"/>
      <w:ind/>
    </w:pPr>
    <w:rPr>
      <w:color w:val="666666"/>
      <w:sz w:val="22"/>
      <w:szCs w:val="22"/>
    </w:rPr>
  </w:style>
  <w:style w:type="paragraph" w:styleId="730">
    <w:name w:val="Heading 6"/>
    <w:basedOn w:val="724"/>
    <w:next w:val="724"/>
    <w:pPr>
      <w:keepNext w:val="true"/>
      <w:keepLines w:val="true"/>
      <w:pageBreakBefore w:val="false"/>
      <w:pBdr/>
      <w:spacing w:after="80" w:before="240"/>
      <w:ind/>
    </w:pPr>
    <w:rPr>
      <w:i/>
      <w:color w:val="666666"/>
      <w:sz w:val="22"/>
      <w:szCs w:val="22"/>
    </w:rPr>
  </w:style>
  <w:style w:type="paragraph" w:styleId="731">
    <w:name w:val="Title"/>
    <w:basedOn w:val="724"/>
    <w:next w:val="724"/>
    <w:pPr>
      <w:keepNext w:val="true"/>
      <w:keepLines w:val="true"/>
      <w:pageBreakBefore w:val="false"/>
      <w:pBdr/>
      <w:spacing w:after="60" w:before="0"/>
      <w:ind/>
    </w:pPr>
    <w:rPr>
      <w:sz w:val="52"/>
      <w:szCs w:val="52"/>
    </w:rPr>
  </w:style>
  <w:style w:type="paragraph" w:styleId="732">
    <w:name w:val="Subtitle"/>
    <w:basedOn w:val="724"/>
    <w:next w:val="724"/>
    <w:pPr>
      <w:keepNext w:val="true"/>
      <w:keepLines w:val="true"/>
      <w:pageBreakBefore w:val="false"/>
      <w:pBdr/>
      <w:spacing w:after="320" w:before="0"/>
      <w:ind/>
    </w:pPr>
    <w:rPr>
      <w:rFonts w:ascii="Arial" w:hAnsi="Arial" w:eastAsia="Arial" w:cs="Arial"/>
      <w:i w:val="0"/>
      <w:color w:val="666666"/>
      <w:sz w:val="30"/>
      <w:szCs w:val="3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