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tillium Web" w:hAnsi="Titillium Web" w:eastAsia="Titillium Web" w:cs="Titillium Web"/>
          <w:i/>
        </w:rPr>
      </w:pPr>
      <w:r>
        <w:rPr>
          <w:rFonts w:ascii="Titillium Web" w:hAnsi="Titillium Web" w:eastAsia="Titillium Web" w:cs="Titillium Web"/>
          <w:i/>
          <w:rtl w:val="0"/>
        </w:rPr>
        <w:t xml:space="preserve">Unione delle Terre d’Argine, 08/10/2025</w:t>
      </w:r>
      <w:r>
        <w:rPr>
          <w:rFonts w:ascii="Titillium Web" w:hAnsi="Titillium Web" w:eastAsia="Titillium Web" w:cs="Titillium Web"/>
          <w:i/>
        </w:rPr>
      </w:r>
    </w:p>
    <w:p>
      <w:pPr>
        <w:pStyle w:val="695"/>
        <w:pBdr/>
        <w:spacing/>
        <w:ind/>
        <w:rPr>
          <w:sz w:val="36"/>
          <w:szCs w:val="36"/>
        </w:rPr>
      </w:pPr>
      <w:r>
        <w:rPr>
          <w:sz w:val="36"/>
          <w:szCs w:val="36"/>
        </w:rPr>
      </w:r>
      <w:bookmarkStart w:id="0" w:name="_5gf17acz8ql"/>
      <w:r>
        <w:rPr>
          <w:sz w:val="36"/>
          <w:szCs w:val="36"/>
        </w:rPr>
      </w:r>
      <w:bookmarkEnd w:id="0"/>
      <w:r>
        <w:rPr>
          <w:sz w:val="36"/>
          <w:szCs w:val="36"/>
          <w:rtl w:val="0"/>
        </w:rPr>
        <w:t xml:space="preserve">Open Day delle Terre d’Argine: i dipendenti dell’Unione si raccontano ai loro aspiranti futuri colleghi</w:t>
      </w:r>
      <w:r>
        <w:rPr>
          <w:sz w:val="36"/>
          <w:szCs w:val="36"/>
          <w:rtl w:val="0"/>
        </w:rPr>
      </w:r>
      <w:r>
        <w:rPr>
          <w:sz w:val="36"/>
          <w:szCs w:val="36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b/>
          <w:rtl w:val="0"/>
        </w:rPr>
        <w:t xml:space="preserve">L’amministrazione pubblica raccontata da chi ci lavora a chi aspira a entrarci.</w:t>
      </w:r>
      <w:r>
        <w:rPr>
          <w:rtl w:val="0"/>
        </w:rPr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rtl w:val="0"/>
        </w:rPr>
        <w:t xml:space="preserve">È stata una prima assoluta l’open day </w:t>
      </w:r>
      <w:r>
        <w:rPr>
          <w:rFonts w:ascii="Titillium Web" w:hAnsi="Titillium Web" w:eastAsia="Titillium Web" w:cs="Titillium Web"/>
          <w:i/>
          <w:rtl w:val="0"/>
        </w:rPr>
        <w:t xml:space="preserve">“Scegli il tuo futuro, lavora con noi!”</w:t>
      </w:r>
      <w:r>
        <w:rPr>
          <w:rFonts w:ascii="Titillium Web" w:hAnsi="Titillium Web" w:eastAsia="Titillium Web" w:cs="Titillium Web"/>
          <w:rtl w:val="0"/>
        </w:rPr>
        <w:t xml:space="preserve"> che si è</w:t>
      </w:r>
      <w:r>
        <w:rPr>
          <w:rFonts w:ascii="Titillium Web" w:hAnsi="Titillium Web" w:eastAsia="Titillium Web" w:cs="Titillium Web"/>
          <w:rtl w:val="0"/>
        </w:rPr>
        <w:t xml:space="preserve"> svolto lunedì 6 ottobre, nella sala consiliare del Municipio di Carpi, e al quale hanno partecipato una sessantina di candidate e candidati alle selezioni di personale attualmente in corso presso l’Unione delle Terre d’Argine e i comuni ad essa aderenti (</w:t>
      </w:r>
      <w:r>
        <w:rPr>
          <w:rFonts w:ascii="Titillium Web" w:hAnsi="Titillium Web" w:eastAsia="Titillium Web" w:cs="Titillium Web"/>
          <w:rtl w:val="0"/>
        </w:rPr>
        <w:t xml:space="preserve">esperti giuridici ed assistenti amministrativi</w:t>
      </w:r>
      <w:r>
        <w:rPr>
          <w:rFonts w:ascii="Titillium Web" w:hAnsi="Titillium Web" w:eastAsia="Titillium Web" w:cs="Titillium Web"/>
          <w:rtl w:val="0"/>
        </w:rPr>
        <w:t xml:space="preserve">).</w:t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rtl w:val="0"/>
        </w:rPr>
        <w:t xml:space="preserve">Non la solita presentazione istituzionale e nemmeno un’istruzione tecnica su cosa studiare per il concorso, ma </w:t>
      </w:r>
      <w:r>
        <w:rPr>
          <w:rFonts w:ascii="Titillium Web" w:hAnsi="Titillium Web" w:eastAsia="Titillium Web" w:cs="Titillium Web"/>
          <w:b/>
          <w:rtl w:val="0"/>
        </w:rPr>
        <w:t xml:space="preserve">un incontro tra persone</w:t>
      </w:r>
      <w:r>
        <w:rPr>
          <w:rFonts w:ascii="Titillium Web" w:hAnsi="Titillium Web" w:eastAsia="Titillium Web" w:cs="Titillium Web"/>
          <w:rtl w:val="0"/>
        </w:rPr>
        <w:t xml:space="preserve">.</w:t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tl w:val="0"/>
        </w:rPr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  <w:i/>
        </w:rPr>
      </w:pPr>
      <w:r>
        <w:rPr>
          <w:rFonts w:ascii="Titillium Web" w:hAnsi="Titillium Web" w:eastAsia="Titillium Web" w:cs="Titillium Web"/>
          <w:rtl w:val="0"/>
        </w:rPr>
        <w:t xml:space="preserve">I protagonisti dell’evento, infatti, </w:t>
      </w:r>
      <w:r>
        <w:rPr>
          <w:rFonts w:ascii="Titillium Web" w:hAnsi="Titillium Web" w:eastAsia="Titillium Web" w:cs="Titillium Web"/>
          <w:rtl w:val="0"/>
        </w:rPr>
        <w:t xml:space="preserve">sono stati i dipendenti dell’amministrazione che hanno raccontato agli “aspiranti”, di ogni età e provenienze diverse, le loro storie e le loro esperienze quotidiane di lavoro nel servizio pubblico, con i lati positivi e quelli più complessi e difficili. “</w:t>
      </w:r>
      <w:r>
        <w:rPr>
          <w:rFonts w:ascii="Titillium Web" w:hAnsi="Titillium Web" w:eastAsia="Titillium Web" w:cs="Titillium Web"/>
          <w:i/>
          <w:rtl w:val="0"/>
        </w:rPr>
        <w:t xml:space="preserve">Testimonianze autentiche</w:t>
      </w:r>
      <w:r>
        <w:rPr>
          <w:rFonts w:ascii="Titillium Web" w:hAnsi="Titillium Web" w:eastAsia="Titillium Web" w:cs="Titillium Web"/>
          <w:rtl w:val="0"/>
        </w:rPr>
        <w:t xml:space="preserve"> – commentano gli organizzatori – </w:t>
      </w:r>
      <w:r>
        <w:rPr>
          <w:rFonts w:ascii="Titillium Web" w:hAnsi="Titillium Web" w:eastAsia="Titillium Web" w:cs="Titillium Web"/>
          <w:i/>
          <w:rtl w:val="0"/>
        </w:rPr>
        <w:t xml:space="preserve">di persone comuni che fanno un lavoro straordinario. </w:t>
      </w:r>
      <w:r>
        <w:rPr>
          <w:rFonts w:ascii="Titillium Web" w:hAnsi="Titillium Web" w:eastAsia="Titillium Web" w:cs="Titillium Web"/>
          <w:b/>
          <w:i/>
          <w:rtl w:val="0"/>
        </w:rPr>
        <w:t xml:space="preserve">Obiettivo dell’incontro</w:t>
      </w:r>
      <w:r>
        <w:rPr>
          <w:rFonts w:ascii="Titillium Web" w:hAnsi="Titillium Web" w:eastAsia="Titillium Web" w:cs="Titillium Web"/>
          <w:i/>
          <w:rtl w:val="0"/>
        </w:rPr>
        <w:t xml:space="preserve">, organizzato in questa nuovissima modalità, </w:t>
      </w:r>
      <w:r>
        <w:rPr>
          <w:rFonts w:ascii="Titillium Web" w:hAnsi="Titillium Web" w:eastAsia="Titillium Web" w:cs="Titillium Web"/>
          <w:b/>
          <w:i/>
          <w:rtl w:val="0"/>
        </w:rPr>
        <w:t xml:space="preserve">era far capire ai presenti chi siamo davvero, come lavoriamo e cosa significa far parte della nostra squadra</w:t>
      </w:r>
      <w:r>
        <w:rPr>
          <w:rFonts w:ascii="Titillium Web" w:hAnsi="Titillium Web" w:eastAsia="Titillium Web" w:cs="Titillium Web"/>
          <w:i/>
          <w:rtl w:val="0"/>
        </w:rPr>
        <w:t xml:space="preserve">.</w:t>
      </w:r>
      <w:r>
        <w:rPr>
          <w:rFonts w:ascii="Titillium Web" w:hAnsi="Titillium Web" w:eastAsia="Titillium Web" w:cs="Titillium Web"/>
          <w:i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i/>
          <w:rtl w:val="0"/>
        </w:rPr>
        <w:t xml:space="preserve">Volevamo aiutarli a capire se le Terre d’Argine possono essere la scelta giusta per loro.</w:t>
        <w:br/>
        <w:t xml:space="preserve">E crediamo di esserci riusciti</w:t>
      </w:r>
      <w:r>
        <w:rPr>
          <w:rFonts w:ascii="Titillium Web" w:hAnsi="Titillium Web" w:eastAsia="Titillium Web" w:cs="Titillium Web"/>
          <w:rtl w:val="0"/>
        </w:rPr>
        <w:t xml:space="preserve">”.</w:t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tl w:val="0"/>
        </w:rPr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rtl w:val="0"/>
        </w:rPr>
        <w:t xml:space="preserve">All’incontro hanno partecipato anche il sindaco di Carpi </w:t>
      </w:r>
      <w:r>
        <w:rPr>
          <w:rFonts w:ascii="Titillium Web" w:hAnsi="Titillium Web" w:eastAsia="Titillium Web" w:cs="Titillium Web"/>
          <w:b/>
          <w:rtl w:val="0"/>
        </w:rPr>
        <w:t xml:space="preserve">Riccardo Righi</w:t>
      </w:r>
      <w:r>
        <w:rPr>
          <w:rFonts w:ascii="Titillium Web" w:hAnsi="Titillium Web" w:eastAsia="Titillium Web" w:cs="Titillium Web"/>
          <w:rtl w:val="0"/>
        </w:rPr>
        <w:t xml:space="preserve">, la sindaca di Soliera </w:t>
      </w:r>
      <w:r>
        <w:rPr>
          <w:rFonts w:ascii="Titillium Web" w:hAnsi="Titillium Web" w:eastAsia="Titillium Web" w:cs="Titillium Web"/>
          <w:b/>
          <w:rtl w:val="0"/>
        </w:rPr>
        <w:t xml:space="preserve">Caterina Bagni</w:t>
      </w:r>
      <w:r>
        <w:rPr>
          <w:rFonts w:ascii="Titillium Web" w:hAnsi="Titillium Web" w:eastAsia="Titillium Web" w:cs="Titillium Web"/>
          <w:rtl w:val="0"/>
        </w:rPr>
        <w:t xml:space="preserve">, il direttore generale dell’Unione </w:t>
      </w:r>
      <w:r>
        <w:rPr>
          <w:rFonts w:ascii="Titillium Web" w:hAnsi="Titillium Web" w:eastAsia="Titillium Web" w:cs="Titillium Web"/>
          <w:b/>
          <w:rtl w:val="0"/>
        </w:rPr>
        <w:t xml:space="preserve">Daniele Cristoforetti</w:t>
      </w:r>
      <w:r>
        <w:rPr>
          <w:rFonts w:ascii="Titillium Web" w:hAnsi="Titillium Web" w:eastAsia="Titillium Web" w:cs="Titillium Web"/>
          <w:rtl w:val="0"/>
        </w:rPr>
        <w:t xml:space="preserve"> e alcuni dirigenti che hanno portato il loro saluto e sottolineato, ancora una volta, il valore delle persone che ogni giorno lavorano a servizio del territorio.</w:t>
      </w:r>
      <w:r>
        <w:rPr>
          <w:rFonts w:ascii="Titillium Web" w:hAnsi="Titillium Web" w:eastAsia="Titillium Web" w:cs="Titillium Web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  <w:i/>
        </w:rPr>
      </w:pPr>
      <w:r>
        <w:rPr>
          <w:rFonts w:ascii="Titillium Web" w:hAnsi="Titillium Web" w:eastAsia="Titillium Web" w:cs="Titillium Web"/>
          <w:rtl w:val="0"/>
        </w:rPr>
        <w:t xml:space="preserve">«</w:t>
      </w:r>
      <w:r>
        <w:rPr>
          <w:rFonts w:ascii="Titillium Web" w:hAnsi="Titillium Web" w:eastAsia="Titillium Web" w:cs="Titillium Web"/>
          <w:i/>
          <w:rtl w:val="0"/>
        </w:rPr>
        <w:t xml:space="preserve">Questo Open Day è stato un momento di incontro vero, fatto di ascolto e di relazioni sincere. </w:t>
      </w:r>
      <w:r>
        <w:rPr>
          <w:rFonts w:ascii="Titillium Web" w:hAnsi="Titillium Web" w:eastAsia="Titillium Web" w:cs="Titillium Web"/>
          <w:i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  <w:i/>
        </w:rPr>
      </w:pPr>
      <w:r>
        <w:rPr>
          <w:rFonts w:ascii="Titillium Web" w:hAnsi="Titillium Web" w:eastAsia="Titillium Web" w:cs="Titillium Web"/>
          <w:i/>
          <w:rtl w:val="0"/>
        </w:rPr>
        <w:t xml:space="preserve">Abbiamo voluto aprire le porte dell’Ente per mostrare cosa c’è dietro il lavoro pubblico: persone che ogni giorno si mettono al servizio della comunità con passione e grande professionalità.</w:t>
      </w:r>
      <w:r>
        <w:rPr>
          <w:rFonts w:ascii="Titillium Web" w:hAnsi="Titillium Web" w:eastAsia="Titillium Web" w:cs="Titillium Web"/>
          <w:i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  <w:b/>
          <w:sz w:val="26"/>
          <w:szCs w:val="26"/>
        </w:rPr>
      </w:pPr>
      <w:r>
        <w:rPr>
          <w:rFonts w:ascii="Titillium Web" w:hAnsi="Titillium Web" w:eastAsia="Titillium Web" w:cs="Titillium Web"/>
          <w:b/>
          <w:i/>
          <w:rtl w:val="0"/>
        </w:rPr>
        <w:t xml:space="preserve">Le Terre d’Argine sono fatte di donne e uomini che credono nel valore del servizio e nel legame con il territorio, e oggi abbiamo voluto raccontarlo in modo diretto e autentico, con un confronto bidirezionale e aperto</w:t>
      </w:r>
      <w:r>
        <w:rPr>
          <w:rFonts w:ascii="Titillium Web" w:hAnsi="Titillium Web" w:eastAsia="Titillium Web" w:cs="Titillium Web"/>
          <w:rtl w:val="0"/>
        </w:rPr>
        <w:t xml:space="preserve">», commenta </w:t>
      </w:r>
      <w:r>
        <w:rPr>
          <w:rFonts w:ascii="Titillium Web" w:hAnsi="Titillium Web" w:eastAsia="Titillium Web" w:cs="Titillium Web"/>
          <w:b/>
          <w:rtl w:val="0"/>
        </w:rPr>
        <w:t xml:space="preserve">Caterina Bagni</w:t>
      </w:r>
      <w:r>
        <w:rPr>
          <w:rFonts w:ascii="Titillium Web" w:hAnsi="Titillium Web" w:eastAsia="Titillium Web" w:cs="Titillium Web"/>
          <w:rtl w:val="0"/>
        </w:rPr>
        <w:t xml:space="preserve">, vicepresidente dell’Unione con delega al personale e organizzazione.</w:t>
      </w:r>
      <w:r>
        <w:rPr>
          <w:rtl w:val="0"/>
        </w:rPr>
      </w:r>
      <w:r>
        <w:rPr>
          <w:rFonts w:ascii="Titillium Web" w:hAnsi="Titillium Web" w:eastAsia="Titillium Web" w:cs="Titillium Web"/>
          <w:b/>
          <w:sz w:val="26"/>
          <w:szCs w:val="26"/>
        </w:rPr>
      </w:r>
    </w:p>
    <w:p>
      <w:pPr>
        <w:pBdr/>
        <w:spacing/>
        <w:ind/>
        <w:rPr>
          <w:rFonts w:ascii="Titillium Web" w:hAnsi="Titillium Web" w:eastAsia="Titillium Web" w:cs="Titillium Web"/>
          <w:b/>
          <w:sz w:val="26"/>
          <w:szCs w:val="26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b/>
          <w:sz w:val="26"/>
          <w:szCs w:val="26"/>
        </w:rPr>
      </w:r>
    </w:p>
    <w:p>
      <w:pPr>
        <w:pBdr/>
        <w:spacing/>
        <w:ind/>
        <w:rPr>
          <w:rFonts w:ascii="Titillium Web" w:hAnsi="Titillium Web" w:eastAsia="Titillium Web" w:cs="Titillium Web"/>
        </w:rPr>
      </w:pPr>
      <w:r>
        <w:rPr>
          <w:rFonts w:ascii="Titillium Web" w:hAnsi="Titillium Web" w:eastAsia="Titillium Web" w:cs="Titillium Web"/>
          <w:rtl w:val="0"/>
        </w:rPr>
        <w:t xml:space="preserve">C’è tempo fino alle ore 13:00 del 16 ottobre 2025 per presentare la propria candidatura a uno o a entrambi i bandi (esclusivamente tramite il portale nazionale del reclutamento InPa</w:t>
      </w:r>
      <w:r>
        <w:rPr>
          <w:rFonts w:ascii="Titillium Web" w:hAnsi="Titillium Web" w:eastAsia="Titillium Web" w:cs="Titillium Web"/>
          <w:rtl w:val="0"/>
        </w:rPr>
        <w:t xml:space="preserve">):</w:t>
      </w:r>
      <w:r>
        <w:rPr>
          <w:rFonts w:ascii="Titillium Web" w:hAnsi="Titillium Web" w:eastAsia="Titillium Web" w:cs="Titillium Web"/>
        </w:rPr>
      </w:r>
      <w:r/>
      <w:r>
        <w:rPr>
          <w:rFonts w:ascii="Titillium Web" w:hAnsi="Titillium Web" w:eastAsia="Titillium Web" w:cs="Titillium Web"/>
        </w:rPr>
      </w:r>
    </w:p>
    <w:p>
      <w:pPr>
        <w:numPr>
          <w:ilvl w:val="0"/>
          <w:numId w:val="1"/>
        </w:numPr>
        <w:pBdr/>
        <w:spacing/>
        <w:ind w:hanging="360" w:left="720"/>
        <w:rPr>
          <w:rFonts w:ascii="Titillium Web" w:hAnsi="Titillium Web" w:eastAsia="Titillium Web" w:cs="Titillium Web"/>
          <w:u w:val="none"/>
        </w:rPr>
      </w:pPr>
      <w:r>
        <w:rPr>
          <w:rFonts w:ascii="Titillium Web" w:hAnsi="Titillium Web" w:eastAsia="Titillium Web" w:cs="Titillium Web"/>
          <w:rtl w:val="0"/>
        </w:rPr>
        <w:t xml:space="preserve">6 posti per esperti giuridici – Area dei Funzionari e dell’Elevata Qualificazione (ex Cat. D)</w:t>
      </w:r>
      <w:r>
        <w:rPr>
          <w:rFonts w:ascii="Titillium Web" w:hAnsi="Titillium Web" w:eastAsia="Titillium Web" w:cs="Titillium Web"/>
          <w:u w:val="none"/>
        </w:rPr>
      </w:r>
    </w:p>
    <w:p>
      <w:pPr>
        <w:numPr>
          <w:ilvl w:val="0"/>
          <w:numId w:val="1"/>
        </w:numPr>
        <w:pBdr/>
        <w:spacing/>
        <w:ind w:hanging="360" w:left="720"/>
        <w:rPr>
          <w:rFonts w:ascii="Titillium Web" w:hAnsi="Titillium Web" w:eastAsia="Titillium Web" w:cs="Titillium Web"/>
          <w:u w:val="none"/>
        </w:rPr>
      </w:pPr>
      <w:r>
        <w:rPr>
          <w:rFonts w:ascii="Titillium Web" w:hAnsi="Titillium Web" w:eastAsia="Titillium Web" w:cs="Titillium Web"/>
          <w:rtl w:val="0"/>
        </w:rPr>
        <w:t xml:space="preserve">2 posti per assistenti amministrativi - Area degli Istruttori (ex Cat. C)</w:t>
      </w:r>
      <w:r>
        <w:rPr>
          <w:rFonts w:ascii="Titillium Web" w:hAnsi="Titillium Web" w:eastAsia="Titillium Web" w:cs="Titillium Web"/>
          <w:u w:val="none"/>
        </w:rPr>
      </w:r>
    </w:p>
    <w:p>
      <w:pPr>
        <w:pBdr/>
        <w:spacing/>
        <w:ind/>
        <w:jc w:val="both"/>
        <w:rPr>
          <w:highlight w:val="none"/>
          <w:lang w:val="it-IT"/>
        </w:rPr>
      </w:pPr>
      <w:r>
        <w:rPr>
          <w:rFonts w:ascii="Titillium Web" w:hAnsi="Titillium Web" w:eastAsia="Titillium Web" w:cs="Titillium Web"/>
          <w:highlight w:val="none"/>
        </w:rPr>
      </w:r>
      <w:r>
        <w:rPr>
          <w:rFonts w:ascii="Titillium Web" w:hAnsi="Titillium Web" w:eastAsia="Titillium Web" w:cs="Titillium Web"/>
          <w:highlight w:val="none"/>
        </w:rPr>
      </w:r>
      <w:r>
        <w:rPr>
          <w:rFonts w:ascii="Titillium Web" w:hAnsi="Titillium Web" w:eastAsia="Titillium Web" w:cs="Titillium Web"/>
          <w:highlight w:val="none"/>
        </w:rPr>
      </w:r>
    </w:p>
    <w:p>
      <w:pPr>
        <w:pBdr/>
        <w:spacing/>
        <w:ind/>
        <w:jc w:val="both"/>
        <w:rPr>
          <w:rFonts w:ascii="Titillium Web" w:hAnsi="Titillium Web" w:eastAsia="Titillium Web" w:cs="Titillium Web"/>
          <w:b/>
          <w:bCs/>
          <w:highlight w:val="none"/>
        </w:rPr>
      </w:pPr>
      <w:r>
        <w:rPr>
          <w:b/>
          <w:bCs/>
          <w:rtl w:val="0"/>
          <w:lang w:val="it-IT"/>
        </w:rPr>
        <w:t xml:space="preserve">Per maggiori informazioni o per candidarsi: </w:t>
      </w:r>
      <w:r>
        <w:rPr>
          <w:rFonts w:ascii="Titillium Web" w:hAnsi="Titillium Web" w:eastAsia="Titillium Web" w:cs="Titillium Web"/>
          <w:b/>
          <w:bCs/>
          <w:rtl w:val="0"/>
        </w:rPr>
      </w:r>
      <w:hyperlink r:id="rId10" w:tooltip="http://utda.it/selezioni-ottobre-2025" w:history="1">
        <w:r>
          <w:rPr>
            <w:rStyle w:val="187"/>
            <w:rFonts w:ascii="Titillium Web" w:hAnsi="Titillium Web" w:eastAsia="Titillium Web" w:cs="Titillium Web"/>
            <w:b/>
            <w:bCs/>
            <w:rtl w:val="0"/>
          </w:rPr>
          <w:t xml:space="preserve">http://utda.it/selezioni-ottobre-2025</w:t>
        </w:r>
      </w:hyperlink>
      <w:r>
        <w:rPr>
          <w:rFonts w:ascii="Titillium Web" w:hAnsi="Titillium Web" w:eastAsia="Titillium Web" w:cs="Titillium Web"/>
          <w:b/>
          <w:bCs/>
          <w:highlight w:val="none"/>
        </w:rPr>
      </w:r>
      <w:r>
        <w:rPr>
          <w:rFonts w:ascii="Titillium Web" w:hAnsi="Titillium Web" w:eastAsia="Titillium Web" w:cs="Titillium Web"/>
          <w:b/>
          <w:bCs/>
        </w:rPr>
      </w:r>
      <w:r>
        <w:rPr>
          <w:highlight w:val="none"/>
          <w:rtl w:val="0"/>
          <w:lang w:val="it-IT"/>
        </w:rPr>
      </w:r>
      <w:r>
        <w:rPr>
          <w:highlight w:val="none"/>
          <w:rtl w:val="0"/>
          <w:lang w:val="it-IT"/>
        </w:rPr>
      </w:r>
      <w:r>
        <w:rPr>
          <w:highlight w:val="none"/>
          <w:rtl w:val="0"/>
          <w:lang w:val="it-IT"/>
        </w:rPr>
      </w:r>
      <w:r>
        <w:rPr>
          <w:rFonts w:ascii="Titillium Web" w:hAnsi="Titillium Web" w:eastAsia="Titillium Web" w:cs="Titillium Web"/>
          <w:b/>
          <w:bCs/>
          <w:highlight w:val="none"/>
        </w:rPr>
      </w:r>
    </w:p>
    <w:sectPr>
      <w:headerReference w:type="default" r:id="rId9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Web">
    <w:panose1 w:val="05050102010205020202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 w:left="-141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138363" cy="81614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138363" cy="8161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68.38pt;height:64.26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94"/>
    <w:next w:val="69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4"/>
    <w:next w:val="69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4"/>
    <w:next w:val="69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4"/>
    <w:next w:val="69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4"/>
    <w:next w:val="69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9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94"/>
    <w:next w:val="6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4"/>
    <w:next w:val="694"/>
    <w:uiPriority w:val="39"/>
    <w:unhideWhenUsed/>
    <w:pPr>
      <w:pBdr/>
      <w:spacing w:after="100"/>
      <w:ind/>
    </w:pPr>
  </w:style>
  <w:style w:type="paragraph" w:styleId="190">
    <w:name w:val="toc 2"/>
    <w:basedOn w:val="694"/>
    <w:next w:val="694"/>
    <w:uiPriority w:val="39"/>
    <w:unhideWhenUsed/>
    <w:pPr>
      <w:pBdr/>
      <w:spacing w:after="100"/>
      <w:ind w:left="220"/>
    </w:pPr>
  </w:style>
  <w:style w:type="paragraph" w:styleId="191">
    <w:name w:val="toc 3"/>
    <w:basedOn w:val="694"/>
    <w:next w:val="694"/>
    <w:uiPriority w:val="39"/>
    <w:unhideWhenUsed/>
    <w:pPr>
      <w:pBdr/>
      <w:spacing w:after="100"/>
      <w:ind w:left="440"/>
    </w:pPr>
  </w:style>
  <w:style w:type="paragraph" w:styleId="192">
    <w:name w:val="toc 4"/>
    <w:basedOn w:val="694"/>
    <w:next w:val="694"/>
    <w:uiPriority w:val="39"/>
    <w:unhideWhenUsed/>
    <w:pPr>
      <w:pBdr/>
      <w:spacing w:after="100"/>
      <w:ind w:left="660"/>
    </w:pPr>
  </w:style>
  <w:style w:type="paragraph" w:styleId="193">
    <w:name w:val="toc 5"/>
    <w:basedOn w:val="694"/>
    <w:next w:val="694"/>
    <w:uiPriority w:val="39"/>
    <w:unhideWhenUsed/>
    <w:pPr>
      <w:pBdr/>
      <w:spacing w:after="100"/>
      <w:ind w:left="880"/>
    </w:pPr>
  </w:style>
  <w:style w:type="paragraph" w:styleId="194">
    <w:name w:val="toc 6"/>
    <w:basedOn w:val="694"/>
    <w:next w:val="694"/>
    <w:uiPriority w:val="39"/>
    <w:unhideWhenUsed/>
    <w:pPr>
      <w:pBdr/>
      <w:spacing w:after="100"/>
      <w:ind w:left="1100"/>
    </w:pPr>
  </w:style>
  <w:style w:type="paragraph" w:styleId="195">
    <w:name w:val="toc 7"/>
    <w:basedOn w:val="694"/>
    <w:next w:val="694"/>
    <w:uiPriority w:val="39"/>
    <w:unhideWhenUsed/>
    <w:pPr>
      <w:pBdr/>
      <w:spacing w:after="100"/>
      <w:ind w:left="1320"/>
    </w:pPr>
  </w:style>
  <w:style w:type="paragraph" w:styleId="196">
    <w:name w:val="toc 8"/>
    <w:basedOn w:val="694"/>
    <w:next w:val="694"/>
    <w:uiPriority w:val="39"/>
    <w:unhideWhenUsed/>
    <w:pPr>
      <w:pBdr/>
      <w:spacing w:after="100"/>
      <w:ind w:left="1540"/>
    </w:pPr>
  </w:style>
  <w:style w:type="paragraph" w:styleId="197">
    <w:name w:val="toc 9"/>
    <w:basedOn w:val="694"/>
    <w:next w:val="69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4"/>
    <w:next w:val="694"/>
    <w:uiPriority w:val="99"/>
    <w:unhideWhenUsed/>
    <w:pPr>
      <w:pBdr/>
      <w:spacing w:after="0" w:afterAutospacing="0"/>
      <w:ind/>
    </w:pPr>
  </w:style>
  <w:style w:type="table" w:styleId="693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4" w:default="1">
    <w:name w:val="Normal"/>
    <w:pPr>
      <w:pBdr/>
      <w:spacing/>
      <w:ind/>
    </w:pPr>
  </w:style>
  <w:style w:type="paragraph" w:styleId="695">
    <w:name w:val="Heading 1"/>
    <w:basedOn w:val="694"/>
    <w:next w:val="69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696">
    <w:name w:val="Heading 2"/>
    <w:basedOn w:val="694"/>
    <w:next w:val="69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697">
    <w:name w:val="Heading 3"/>
    <w:basedOn w:val="694"/>
    <w:next w:val="69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698">
    <w:name w:val="Heading 4"/>
    <w:basedOn w:val="694"/>
    <w:next w:val="69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699">
    <w:name w:val="Heading 5"/>
    <w:basedOn w:val="694"/>
    <w:next w:val="69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700">
    <w:name w:val="Heading 6"/>
    <w:basedOn w:val="694"/>
    <w:next w:val="69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701">
    <w:name w:val="Title"/>
    <w:basedOn w:val="694"/>
    <w:next w:val="69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702">
    <w:name w:val="Subtitle"/>
    <w:basedOn w:val="694"/>
    <w:next w:val="69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utda.it/selezioni-ottobre-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