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F0B" w:rsidRPr="00110F0B" w:rsidRDefault="00110F0B" w:rsidP="00110F0B">
      <w:pPr>
        <w:outlineLvl w:val="1"/>
        <w:rPr>
          <w:rFonts w:ascii="Verdana" w:eastAsia="Times New Roman" w:hAnsi="Verdana" w:cs="Times New Roman"/>
          <w:b/>
          <w:bCs/>
          <w:color w:val="000000"/>
          <w:kern w:val="36"/>
          <w:sz w:val="19"/>
          <w:szCs w:val="19"/>
          <w:lang w:eastAsia="it-IT"/>
        </w:rPr>
      </w:pPr>
      <w:r w:rsidRPr="00110F0B">
        <w:rPr>
          <w:rFonts w:ascii="Verdana" w:eastAsia="Times New Roman" w:hAnsi="Verdana" w:cs="Times New Roman"/>
          <w:b/>
          <w:bCs/>
          <w:color w:val="000000"/>
          <w:kern w:val="36"/>
          <w:sz w:val="19"/>
          <w:szCs w:val="19"/>
          <w:lang w:eastAsia="it-IT"/>
        </w:rPr>
        <w:t>HOBBISTI</w:t>
      </w:r>
    </w:p>
    <w:p w:rsidR="00110F0B" w:rsidRDefault="00110F0B" w:rsidP="00110F0B">
      <w:pPr>
        <w:outlineLvl w:val="2"/>
        <w:rPr>
          <w:rFonts w:ascii="Verdana" w:eastAsia="Times New Roman" w:hAnsi="Verdana" w:cs="Times New Roman"/>
          <w:color w:val="83817D"/>
          <w:sz w:val="16"/>
          <w:szCs w:val="16"/>
          <w:lang w:eastAsia="it-IT"/>
        </w:rPr>
      </w:pPr>
      <w:r w:rsidRPr="00110F0B">
        <w:rPr>
          <w:rFonts w:ascii="Verdana" w:eastAsia="Times New Roman" w:hAnsi="Verdana" w:cs="Times New Roman"/>
          <w:color w:val="83817D"/>
          <w:sz w:val="16"/>
          <w:szCs w:val="16"/>
          <w:lang w:eastAsia="it-IT"/>
        </w:rPr>
        <w:t>partecipazione de</w:t>
      </w:r>
      <w:r>
        <w:rPr>
          <w:rFonts w:ascii="Verdana" w:eastAsia="Times New Roman" w:hAnsi="Verdana" w:cs="Times New Roman"/>
          <w:color w:val="83817D"/>
          <w:sz w:val="16"/>
          <w:szCs w:val="16"/>
          <w:lang w:eastAsia="it-IT"/>
        </w:rPr>
        <w:t>gli Hobbisti ai mercati, fiere</w:t>
      </w:r>
    </w:p>
    <w:p w:rsidR="00110F0B" w:rsidRPr="00110F0B" w:rsidRDefault="00110F0B" w:rsidP="00110F0B">
      <w:pPr>
        <w:outlineLvl w:val="2"/>
        <w:rPr>
          <w:rFonts w:ascii="Verdana" w:eastAsia="Times New Roman" w:hAnsi="Verdana" w:cs="Times New Roman"/>
          <w:color w:val="83817D"/>
          <w:sz w:val="16"/>
          <w:szCs w:val="16"/>
          <w:lang w:eastAsia="it-IT"/>
        </w:rPr>
      </w:pP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sz w:val="16"/>
          <w:szCs w:val="16"/>
          <w:lang w:eastAsia="it-IT"/>
        </w:rPr>
        <w:t xml:space="preserve">Con la LR. N. 4/2013, che ha modificato la LR N. 12/1999, viene regolamentata la partecipazione degli Hobbisti ai mercati, fiere, ecc. Di seguito si riportano le principali disposizioni contenute nell’art. 7bis – Hobbisti - della L.R. 12/1999 </w:t>
      </w: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 xml:space="preserve">Sono, denominati hobbisti tutti coloro che, non essendo in possesso dell'autorizzazione commercio, vendono, barattano, propongono o espongono, in modo saltuario ed occasionale, merci di modico valore. Essi possono operare solo nei mercatini aperti alla partecipazione degli hobbisti di cui all'articolo 6, comma 1, lettera c bis) della L.R. 12/1999. </w:t>
      </w:r>
    </w:p>
    <w:p w:rsidR="00110F0B" w:rsidRPr="00110F0B" w:rsidRDefault="00110F0B" w:rsidP="00110F0B">
      <w:pPr>
        <w:rPr>
          <w:rFonts w:ascii="Verdana" w:eastAsia="Times New Roman" w:hAnsi="Verdana" w:cs="Times New Roman"/>
          <w:sz w:val="16"/>
          <w:szCs w:val="16"/>
          <w:lang w:eastAsia="it-IT"/>
        </w:rPr>
      </w:pP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Gli hobbisti, in possesso dei requisiti di cui all'articolo 71 del decreto legislativo n. 59 del 2010, per svolgere l'attività descritta nel comma 1 devono essere in possesso di un tesserino identificativo contenente generalità e foto, oltre a dieci appositi spazi per la vidimazione, rilasciato dal Comune di residenza, oppure dal Comune capoluogo della Regione Emilia-Romagna per i residenti in altra regione.</w:t>
      </w: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In caso di perdita dei requisiti di cui all'articolo 71 del decreto legislativo n. 59 del 2010, il Comune revoca il titolo abilitativo costituito dal tesserino.</w:t>
      </w:r>
    </w:p>
    <w:p w:rsidR="00110F0B" w:rsidRPr="00110F0B" w:rsidRDefault="00110F0B" w:rsidP="00110F0B">
      <w:pPr>
        <w:rPr>
          <w:rFonts w:ascii="Verdana" w:eastAsia="Times New Roman" w:hAnsi="Verdana" w:cs="Times New Roman"/>
          <w:sz w:val="16"/>
          <w:szCs w:val="16"/>
          <w:lang w:eastAsia="it-IT"/>
        </w:rPr>
      </w:pP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 xml:space="preserve">Il tesserino identificativo è rilasciato per non più di una volta all'anno per nucleo di residenti nella stessa unità immobiliare e per un massimo di due anni, anche non consecutivi, nell'arco di cinque anni; tale tesserino, il cui rilascio è soggetto al pagamento di una somma, a titolo di diritti di istruttoria, pari a euro 200,00, non è cedibile o trasferibile ed è esposto durante la manifestazione in modo visibile e leggibile al pubblico e agli organi preposti al controllo. Esaurito il suddetto periodo di due anni, anche non consecutivi, l'hobbista, o chi risiede nella stessa unità immobiliare, per poter esercitare l'attività deve munirsi di autorizzazione per il commercio su aree pubbliche. </w:t>
      </w: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Gli hobbisti abilitati partecipano ad un massimo di dieci manifestazioni l'anno e non possono farsi sostituire da altri soggetti nell'esercizio della propria attività. Si considera unitaria la partecipazione a manifestazioni della durata di due giorni, purché consecutivi.</w:t>
      </w:r>
    </w:p>
    <w:p w:rsidR="00110F0B" w:rsidRPr="00110F0B" w:rsidRDefault="00110F0B" w:rsidP="00110F0B">
      <w:pPr>
        <w:rPr>
          <w:rFonts w:ascii="Verdana" w:eastAsia="Times New Roman" w:hAnsi="Verdana" w:cs="Times New Roman"/>
          <w:sz w:val="16"/>
          <w:szCs w:val="16"/>
          <w:lang w:eastAsia="it-IT"/>
        </w:rPr>
      </w:pP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 xml:space="preserve">I Comuni che organizzano le manifestazioni di cui sopra, prima dell'assegnazione del posteggio, procedono obbligatoriamente alla vidimazione, con timbro e data, di uno degli appositi spazi del tesserino. Anche nell'ipotesi in cui la gestione delle manifestazioni sia affidata a soggetti diversi, l'attività di controllo e di vidimazione spetta al Comune ospitante. </w:t>
      </w:r>
    </w:p>
    <w:p w:rsidR="00110F0B" w:rsidRPr="00110F0B" w:rsidRDefault="00110F0B" w:rsidP="00110F0B">
      <w:pPr>
        <w:rPr>
          <w:rFonts w:ascii="Verdana" w:eastAsia="Times New Roman" w:hAnsi="Verdana" w:cs="Times New Roman"/>
          <w:sz w:val="16"/>
          <w:szCs w:val="16"/>
          <w:lang w:eastAsia="it-IT"/>
        </w:rPr>
      </w:pP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 xml:space="preserve">I Comuni istituiscono i mercatini degli hobbisti prevedendo che la partecipazione degli hobbisti avvenga con criteri di rotazione e senza il riconoscimento di priorità ottenute per la presenza ad edizioni precedenti, tenendo conto della partecipazione di operatori in possesso di autorizzazione al commercio sulle aree pubbliche. I Comuni sono tenuti a redigere un elenco degli hobbisti che partecipano a ciascuna manifestazione, da inviare annualmente alla Regione. </w:t>
      </w: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 xml:space="preserve">È responsabilità dell'hobbista accertarsi della vidimazione giornaliera del tesserino da parte del Comune; in assenza di tale timbro il soggetto perde la condizione di hobbista e si configura a suo carico la fattispecie dell'esercizio del commercio senza autorizzazione. </w:t>
      </w:r>
    </w:p>
    <w:p w:rsidR="00110F0B" w:rsidRPr="00110F0B" w:rsidRDefault="00110F0B" w:rsidP="00110F0B">
      <w:pPr>
        <w:rPr>
          <w:rFonts w:ascii="Verdana" w:eastAsia="Times New Roman" w:hAnsi="Verdana" w:cs="Times New Roman"/>
          <w:sz w:val="16"/>
          <w:szCs w:val="16"/>
          <w:lang w:eastAsia="it-IT"/>
        </w:rPr>
      </w:pP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Gli hobbisti non possono comunque vendere, barattare, proporre o esporre più di un oggetto con un prezzo superiore a euro 100,00; in ogni caso, il valore complessivo della merce esibita non può essere superiore a euro 1.000,00. Relativamente all'esposizione dei prezzi, si applicano le disposizioni di cui all'articolo 14 del decreto legislativo n. 114 del 1998, e relative sanzioni. Ciascun hobbista consegna al Comune, in occasione della vidimazione del tesserino, l'elenco completo dei beni che intende vendere, barattare, proporre o esporre. L'elenco contiene la descrizione delle tipologie dei beni, il relativo prezzo al pubblico e l'indicazione della persona fisica o giuridica da cui l'hobbista li ha acquisiti.</w:t>
      </w:r>
    </w:p>
    <w:p w:rsidR="00110F0B" w:rsidRPr="00110F0B" w:rsidRDefault="00110F0B" w:rsidP="00110F0B">
      <w:pPr>
        <w:rPr>
          <w:rFonts w:ascii="Verdana" w:eastAsia="Times New Roman" w:hAnsi="Verdana" w:cs="Times New Roman"/>
          <w:sz w:val="16"/>
          <w:szCs w:val="16"/>
          <w:lang w:eastAsia="it-IT"/>
        </w:rPr>
      </w:pPr>
    </w:p>
    <w:p w:rsidR="00110F0B" w:rsidRDefault="00110F0B" w:rsidP="00110F0B">
      <w:pPr>
        <w:rPr>
          <w:rFonts w:ascii="Verdana" w:eastAsia="Times New Roman" w:hAnsi="Verdana" w:cs="Times New Roman"/>
          <w:iCs/>
          <w:sz w:val="16"/>
          <w:szCs w:val="16"/>
          <w:lang w:eastAsia="it-IT"/>
        </w:rPr>
      </w:pPr>
      <w:r w:rsidRPr="00110F0B">
        <w:rPr>
          <w:rFonts w:ascii="Verdana" w:eastAsia="Times New Roman" w:hAnsi="Verdana" w:cs="Times New Roman"/>
          <w:iCs/>
          <w:sz w:val="16"/>
          <w:szCs w:val="16"/>
          <w:lang w:eastAsia="it-IT"/>
        </w:rPr>
        <w:t>Nel caso di vendita, baratto, proposta o esposizione di merci nell'ambito dei mercatini degli hobbisti da parte di soggetti privi del tesserino identificativo di cui al comma 3 o in possesso di tesserino identificativo privo della vidimazione relativa alla manifestazione in corso di svolgimento, si applicano le disposizioni di cui all'articolo 29, comma 1, del decreto legislativo n. 114 del 1998. Si applicano altresì le disposizioni dell'articolo 56 della legge regionale 24 marzo 2004, n. 6 (Riforma del sistema amministrativo regionale e locale. Unione europea e relazioni internazionali. Innovazione e semplificazione. Rapporti con l'università) e del regolamento regionale 29 luglio 2004, n. 20 (Regolamento di semplificazione delle procedure a tutela della legalità del commercio in attuazione dell'articolo 56, comma 3, della legge regionale 24 marzo 2004, n. 6).</w:t>
      </w:r>
    </w:p>
    <w:p w:rsidR="00110F0B" w:rsidRPr="00110F0B" w:rsidRDefault="00110F0B" w:rsidP="00110F0B">
      <w:pPr>
        <w:rPr>
          <w:rFonts w:ascii="Verdana" w:eastAsia="Times New Roman" w:hAnsi="Verdana" w:cs="Times New Roman"/>
          <w:sz w:val="16"/>
          <w:szCs w:val="16"/>
          <w:lang w:eastAsia="it-IT"/>
        </w:rPr>
      </w:pPr>
      <w:bookmarkStart w:id="0" w:name="_GoBack"/>
      <w:bookmarkEnd w:id="0"/>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Si applica la sanzione amministrativa del pagamento di una somma da euro 250,00 a euro 1.500,00 nei seguenti casi:</w:t>
      </w: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a) assenza del titolare del tesserino identificativo o mancata esposizione del tesserino al pubblico o agli organi preposti alla vigilanza;</w:t>
      </w: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b) mancata consegna al Comune, in occasione della vidimazione del tesserino, dell'elenco dei beni oggetto di vendita, baratto, proposta o esposizione, ovvero accertata incompletezza o non veridicità del medesimo elenco;</w:t>
      </w: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c) vendita, baratto, proposta o esposizione di più di un oggetto con un prezzo superiore a euro 100,00.</w:t>
      </w:r>
    </w:p>
    <w:p w:rsidR="00110F0B" w:rsidRPr="00110F0B" w:rsidRDefault="00110F0B" w:rsidP="00110F0B">
      <w:pPr>
        <w:rPr>
          <w:rFonts w:ascii="Verdana" w:eastAsia="Times New Roman" w:hAnsi="Verdana" w:cs="Times New Roman"/>
          <w:sz w:val="16"/>
          <w:szCs w:val="16"/>
          <w:lang w:eastAsia="it-IT"/>
        </w:rPr>
      </w:pPr>
      <w:r w:rsidRPr="00110F0B">
        <w:rPr>
          <w:rFonts w:ascii="Verdana" w:eastAsia="Times New Roman" w:hAnsi="Verdana" w:cs="Times New Roman"/>
          <w:iCs/>
          <w:sz w:val="16"/>
          <w:szCs w:val="16"/>
          <w:lang w:eastAsia="it-IT"/>
        </w:rPr>
        <w:t>Il Comune è competente a ricevere il rapporto di cui all'articolo 14 della legge regionale 28 aprile 1984, n. 21 (Disciplina dell'applicazione delle sanzioni amministrative di competenza regionale), applica le sanzioni amministrative e introita i proventi</w:t>
      </w:r>
    </w:p>
    <w:p w:rsidR="00057A9D" w:rsidRPr="00110F0B" w:rsidRDefault="00057A9D" w:rsidP="00110F0B"/>
    <w:sectPr w:rsidR="00057A9D" w:rsidRPr="00110F0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C23"/>
    <w:rsid w:val="00057A9D"/>
    <w:rsid w:val="00110F0B"/>
    <w:rsid w:val="002D38FF"/>
    <w:rsid w:val="00933C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D38FF"/>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D38FF"/>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549732">
      <w:bodyDiv w:val="1"/>
      <w:marLeft w:val="0"/>
      <w:marRight w:val="0"/>
      <w:marTop w:val="0"/>
      <w:marBottom w:val="0"/>
      <w:divBdr>
        <w:top w:val="none" w:sz="0" w:space="0" w:color="auto"/>
        <w:left w:val="none" w:sz="0" w:space="0" w:color="auto"/>
        <w:bottom w:val="none" w:sz="0" w:space="0" w:color="auto"/>
        <w:right w:val="none" w:sz="0" w:space="0" w:color="auto"/>
      </w:divBdr>
      <w:divsChild>
        <w:div w:id="1035153219">
          <w:marLeft w:val="0"/>
          <w:marRight w:val="0"/>
          <w:marTop w:val="0"/>
          <w:marBottom w:val="0"/>
          <w:divBdr>
            <w:top w:val="none" w:sz="0" w:space="0" w:color="auto"/>
            <w:left w:val="none" w:sz="0" w:space="0" w:color="auto"/>
            <w:bottom w:val="none" w:sz="0" w:space="0" w:color="auto"/>
            <w:right w:val="none" w:sz="0" w:space="0" w:color="auto"/>
          </w:divBdr>
          <w:divsChild>
            <w:div w:id="2145343632">
              <w:marLeft w:val="0"/>
              <w:marRight w:val="0"/>
              <w:marTop w:val="0"/>
              <w:marBottom w:val="0"/>
              <w:divBdr>
                <w:top w:val="none" w:sz="0" w:space="0" w:color="auto"/>
                <w:left w:val="none" w:sz="0" w:space="0" w:color="auto"/>
                <w:bottom w:val="none" w:sz="0" w:space="0" w:color="auto"/>
                <w:right w:val="none" w:sz="0" w:space="0" w:color="auto"/>
              </w:divBdr>
              <w:divsChild>
                <w:div w:id="464857801">
                  <w:marLeft w:val="2925"/>
                  <w:marRight w:val="2775"/>
                  <w:marTop w:val="0"/>
                  <w:marBottom w:val="0"/>
                  <w:divBdr>
                    <w:top w:val="none" w:sz="0" w:space="0" w:color="auto"/>
                    <w:left w:val="none" w:sz="0" w:space="0" w:color="auto"/>
                    <w:bottom w:val="none" w:sz="0" w:space="0" w:color="auto"/>
                    <w:right w:val="none" w:sz="0" w:space="0" w:color="auto"/>
                  </w:divBdr>
                  <w:divsChild>
                    <w:div w:id="465006476">
                      <w:marLeft w:val="0"/>
                      <w:marRight w:val="0"/>
                      <w:marTop w:val="0"/>
                      <w:marBottom w:val="120"/>
                      <w:divBdr>
                        <w:top w:val="none" w:sz="0" w:space="0" w:color="auto"/>
                        <w:left w:val="none" w:sz="0" w:space="0" w:color="auto"/>
                        <w:bottom w:val="none" w:sz="0" w:space="0" w:color="auto"/>
                        <w:right w:val="none" w:sz="0" w:space="0" w:color="auto"/>
                      </w:divBdr>
                    </w:div>
                    <w:div w:id="630015862">
                      <w:marLeft w:val="0"/>
                      <w:marRight w:val="0"/>
                      <w:marTop w:val="0"/>
                      <w:marBottom w:val="0"/>
                      <w:divBdr>
                        <w:top w:val="none" w:sz="0" w:space="0" w:color="auto"/>
                        <w:left w:val="none" w:sz="0" w:space="0" w:color="auto"/>
                        <w:bottom w:val="none" w:sz="0" w:space="0" w:color="auto"/>
                        <w:right w:val="none" w:sz="0" w:space="0" w:color="auto"/>
                      </w:divBdr>
                      <w:divsChild>
                        <w:div w:id="8411390">
                          <w:marLeft w:val="0"/>
                          <w:marRight w:val="0"/>
                          <w:marTop w:val="0"/>
                          <w:marBottom w:val="0"/>
                          <w:divBdr>
                            <w:top w:val="none" w:sz="0" w:space="0" w:color="auto"/>
                            <w:left w:val="none" w:sz="0" w:space="0" w:color="auto"/>
                            <w:bottom w:val="none" w:sz="0" w:space="0" w:color="auto"/>
                            <w:right w:val="none" w:sz="0" w:space="0" w:color="auto"/>
                          </w:divBdr>
                        </w:div>
                        <w:div w:id="517159623">
                          <w:marLeft w:val="0"/>
                          <w:marRight w:val="0"/>
                          <w:marTop w:val="0"/>
                          <w:marBottom w:val="0"/>
                          <w:divBdr>
                            <w:top w:val="none" w:sz="0" w:space="0" w:color="auto"/>
                            <w:left w:val="none" w:sz="0" w:space="0" w:color="auto"/>
                            <w:bottom w:val="none" w:sz="0" w:space="0" w:color="auto"/>
                            <w:right w:val="none" w:sz="0" w:space="0" w:color="auto"/>
                          </w:divBdr>
                        </w:div>
                        <w:div w:id="92676303">
                          <w:marLeft w:val="0"/>
                          <w:marRight w:val="0"/>
                          <w:marTop w:val="0"/>
                          <w:marBottom w:val="0"/>
                          <w:divBdr>
                            <w:top w:val="none" w:sz="0" w:space="0" w:color="auto"/>
                            <w:left w:val="none" w:sz="0" w:space="0" w:color="auto"/>
                            <w:bottom w:val="none" w:sz="0" w:space="0" w:color="auto"/>
                            <w:right w:val="none" w:sz="0" w:space="0" w:color="auto"/>
                          </w:divBdr>
                        </w:div>
                        <w:div w:id="1171287851">
                          <w:marLeft w:val="0"/>
                          <w:marRight w:val="0"/>
                          <w:marTop w:val="0"/>
                          <w:marBottom w:val="0"/>
                          <w:divBdr>
                            <w:top w:val="none" w:sz="0" w:space="0" w:color="auto"/>
                            <w:left w:val="none" w:sz="0" w:space="0" w:color="auto"/>
                            <w:bottom w:val="none" w:sz="0" w:space="0" w:color="auto"/>
                            <w:right w:val="none" w:sz="0" w:space="0" w:color="auto"/>
                          </w:divBdr>
                        </w:div>
                        <w:div w:id="1595934427">
                          <w:marLeft w:val="0"/>
                          <w:marRight w:val="0"/>
                          <w:marTop w:val="0"/>
                          <w:marBottom w:val="0"/>
                          <w:divBdr>
                            <w:top w:val="none" w:sz="0" w:space="0" w:color="auto"/>
                            <w:left w:val="none" w:sz="0" w:space="0" w:color="auto"/>
                            <w:bottom w:val="none" w:sz="0" w:space="0" w:color="auto"/>
                            <w:right w:val="none" w:sz="0" w:space="0" w:color="auto"/>
                          </w:divBdr>
                        </w:div>
                        <w:div w:id="407582691">
                          <w:marLeft w:val="0"/>
                          <w:marRight w:val="0"/>
                          <w:marTop w:val="0"/>
                          <w:marBottom w:val="0"/>
                          <w:divBdr>
                            <w:top w:val="none" w:sz="0" w:space="0" w:color="auto"/>
                            <w:left w:val="none" w:sz="0" w:space="0" w:color="auto"/>
                            <w:bottom w:val="none" w:sz="0" w:space="0" w:color="auto"/>
                            <w:right w:val="none" w:sz="0" w:space="0" w:color="auto"/>
                          </w:divBdr>
                        </w:div>
                        <w:div w:id="105008170">
                          <w:marLeft w:val="0"/>
                          <w:marRight w:val="0"/>
                          <w:marTop w:val="0"/>
                          <w:marBottom w:val="0"/>
                          <w:divBdr>
                            <w:top w:val="none" w:sz="0" w:space="0" w:color="auto"/>
                            <w:left w:val="none" w:sz="0" w:space="0" w:color="auto"/>
                            <w:bottom w:val="none" w:sz="0" w:space="0" w:color="auto"/>
                            <w:right w:val="none" w:sz="0" w:space="0" w:color="auto"/>
                          </w:divBdr>
                        </w:div>
                        <w:div w:id="102266431">
                          <w:marLeft w:val="0"/>
                          <w:marRight w:val="0"/>
                          <w:marTop w:val="0"/>
                          <w:marBottom w:val="0"/>
                          <w:divBdr>
                            <w:top w:val="none" w:sz="0" w:space="0" w:color="auto"/>
                            <w:left w:val="none" w:sz="0" w:space="0" w:color="auto"/>
                            <w:bottom w:val="none" w:sz="0" w:space="0" w:color="auto"/>
                            <w:right w:val="none" w:sz="0" w:space="0" w:color="auto"/>
                          </w:divBdr>
                        </w:div>
                        <w:div w:id="162161687">
                          <w:marLeft w:val="0"/>
                          <w:marRight w:val="0"/>
                          <w:marTop w:val="0"/>
                          <w:marBottom w:val="0"/>
                          <w:divBdr>
                            <w:top w:val="none" w:sz="0" w:space="0" w:color="auto"/>
                            <w:left w:val="none" w:sz="0" w:space="0" w:color="auto"/>
                            <w:bottom w:val="none" w:sz="0" w:space="0" w:color="auto"/>
                            <w:right w:val="none" w:sz="0" w:space="0" w:color="auto"/>
                          </w:divBdr>
                        </w:div>
                        <w:div w:id="1628585158">
                          <w:marLeft w:val="0"/>
                          <w:marRight w:val="0"/>
                          <w:marTop w:val="0"/>
                          <w:marBottom w:val="0"/>
                          <w:divBdr>
                            <w:top w:val="none" w:sz="0" w:space="0" w:color="auto"/>
                            <w:left w:val="none" w:sz="0" w:space="0" w:color="auto"/>
                            <w:bottom w:val="none" w:sz="0" w:space="0" w:color="auto"/>
                            <w:right w:val="none" w:sz="0" w:space="0" w:color="auto"/>
                          </w:divBdr>
                        </w:div>
                        <w:div w:id="264188687">
                          <w:marLeft w:val="0"/>
                          <w:marRight w:val="0"/>
                          <w:marTop w:val="0"/>
                          <w:marBottom w:val="0"/>
                          <w:divBdr>
                            <w:top w:val="none" w:sz="0" w:space="0" w:color="auto"/>
                            <w:left w:val="none" w:sz="0" w:space="0" w:color="auto"/>
                            <w:bottom w:val="none" w:sz="0" w:space="0" w:color="auto"/>
                            <w:right w:val="none" w:sz="0" w:space="0" w:color="auto"/>
                          </w:divBdr>
                        </w:div>
                        <w:div w:id="1866823282">
                          <w:marLeft w:val="0"/>
                          <w:marRight w:val="0"/>
                          <w:marTop w:val="0"/>
                          <w:marBottom w:val="0"/>
                          <w:divBdr>
                            <w:top w:val="none" w:sz="0" w:space="0" w:color="auto"/>
                            <w:left w:val="none" w:sz="0" w:space="0" w:color="auto"/>
                            <w:bottom w:val="none" w:sz="0" w:space="0" w:color="auto"/>
                            <w:right w:val="none" w:sz="0" w:space="0" w:color="auto"/>
                          </w:divBdr>
                        </w:div>
                        <w:div w:id="812215370">
                          <w:marLeft w:val="0"/>
                          <w:marRight w:val="0"/>
                          <w:marTop w:val="0"/>
                          <w:marBottom w:val="0"/>
                          <w:divBdr>
                            <w:top w:val="none" w:sz="0" w:space="0" w:color="auto"/>
                            <w:left w:val="none" w:sz="0" w:space="0" w:color="auto"/>
                            <w:bottom w:val="none" w:sz="0" w:space="0" w:color="auto"/>
                            <w:right w:val="none" w:sz="0" w:space="0" w:color="auto"/>
                          </w:divBdr>
                        </w:div>
                        <w:div w:id="2034114487">
                          <w:marLeft w:val="0"/>
                          <w:marRight w:val="0"/>
                          <w:marTop w:val="0"/>
                          <w:marBottom w:val="0"/>
                          <w:divBdr>
                            <w:top w:val="none" w:sz="0" w:space="0" w:color="auto"/>
                            <w:left w:val="none" w:sz="0" w:space="0" w:color="auto"/>
                            <w:bottom w:val="none" w:sz="0" w:space="0" w:color="auto"/>
                            <w:right w:val="none" w:sz="0" w:space="0" w:color="auto"/>
                          </w:divBdr>
                        </w:div>
                        <w:div w:id="1328091434">
                          <w:marLeft w:val="0"/>
                          <w:marRight w:val="0"/>
                          <w:marTop w:val="0"/>
                          <w:marBottom w:val="0"/>
                          <w:divBdr>
                            <w:top w:val="none" w:sz="0" w:space="0" w:color="auto"/>
                            <w:left w:val="none" w:sz="0" w:space="0" w:color="auto"/>
                            <w:bottom w:val="none" w:sz="0" w:space="0" w:color="auto"/>
                            <w:right w:val="none" w:sz="0" w:space="0" w:color="auto"/>
                          </w:divBdr>
                        </w:div>
                        <w:div w:id="290987877">
                          <w:marLeft w:val="0"/>
                          <w:marRight w:val="0"/>
                          <w:marTop w:val="0"/>
                          <w:marBottom w:val="0"/>
                          <w:divBdr>
                            <w:top w:val="none" w:sz="0" w:space="0" w:color="auto"/>
                            <w:left w:val="none" w:sz="0" w:space="0" w:color="auto"/>
                            <w:bottom w:val="none" w:sz="0" w:space="0" w:color="auto"/>
                            <w:right w:val="none" w:sz="0" w:space="0" w:color="auto"/>
                          </w:divBdr>
                        </w:div>
                        <w:div w:id="200994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116299">
      <w:bodyDiv w:val="1"/>
      <w:marLeft w:val="0"/>
      <w:marRight w:val="0"/>
      <w:marTop w:val="0"/>
      <w:marBottom w:val="0"/>
      <w:divBdr>
        <w:top w:val="none" w:sz="0" w:space="0" w:color="auto"/>
        <w:left w:val="none" w:sz="0" w:space="0" w:color="auto"/>
        <w:bottom w:val="none" w:sz="0" w:space="0" w:color="auto"/>
        <w:right w:val="none" w:sz="0" w:space="0" w:color="auto"/>
      </w:divBdr>
      <w:divsChild>
        <w:div w:id="1289896486">
          <w:marLeft w:val="0"/>
          <w:marRight w:val="0"/>
          <w:marTop w:val="0"/>
          <w:marBottom w:val="0"/>
          <w:divBdr>
            <w:top w:val="none" w:sz="0" w:space="0" w:color="auto"/>
            <w:left w:val="none" w:sz="0" w:space="0" w:color="auto"/>
            <w:bottom w:val="none" w:sz="0" w:space="0" w:color="auto"/>
            <w:right w:val="none" w:sz="0" w:space="0" w:color="auto"/>
          </w:divBdr>
          <w:divsChild>
            <w:div w:id="1289822085">
              <w:marLeft w:val="0"/>
              <w:marRight w:val="0"/>
              <w:marTop w:val="0"/>
              <w:marBottom w:val="0"/>
              <w:divBdr>
                <w:top w:val="none" w:sz="0" w:space="0" w:color="auto"/>
                <w:left w:val="none" w:sz="0" w:space="0" w:color="auto"/>
                <w:bottom w:val="none" w:sz="0" w:space="0" w:color="auto"/>
                <w:right w:val="none" w:sz="0" w:space="0" w:color="auto"/>
              </w:divBdr>
              <w:divsChild>
                <w:div w:id="1810441414">
                  <w:marLeft w:val="2925"/>
                  <w:marRight w:val="2775"/>
                  <w:marTop w:val="0"/>
                  <w:marBottom w:val="0"/>
                  <w:divBdr>
                    <w:top w:val="none" w:sz="0" w:space="0" w:color="auto"/>
                    <w:left w:val="none" w:sz="0" w:space="0" w:color="auto"/>
                    <w:bottom w:val="none" w:sz="0" w:space="0" w:color="auto"/>
                    <w:right w:val="none" w:sz="0" w:space="0" w:color="auto"/>
                  </w:divBdr>
                  <w:divsChild>
                    <w:div w:id="2118215409">
                      <w:marLeft w:val="0"/>
                      <w:marRight w:val="0"/>
                      <w:marTop w:val="0"/>
                      <w:marBottom w:val="120"/>
                      <w:divBdr>
                        <w:top w:val="none" w:sz="0" w:space="0" w:color="auto"/>
                        <w:left w:val="none" w:sz="0" w:space="0" w:color="auto"/>
                        <w:bottom w:val="none" w:sz="0" w:space="0" w:color="auto"/>
                        <w:right w:val="none" w:sz="0" w:space="0" w:color="auto"/>
                      </w:divBdr>
                    </w:div>
                    <w:div w:id="152701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391492">
      <w:bodyDiv w:val="1"/>
      <w:marLeft w:val="0"/>
      <w:marRight w:val="0"/>
      <w:marTop w:val="0"/>
      <w:marBottom w:val="0"/>
      <w:divBdr>
        <w:top w:val="none" w:sz="0" w:space="0" w:color="auto"/>
        <w:left w:val="none" w:sz="0" w:space="0" w:color="auto"/>
        <w:bottom w:val="none" w:sz="0" w:space="0" w:color="auto"/>
        <w:right w:val="none" w:sz="0" w:space="0" w:color="auto"/>
      </w:divBdr>
      <w:divsChild>
        <w:div w:id="1258979173">
          <w:marLeft w:val="0"/>
          <w:marRight w:val="0"/>
          <w:marTop w:val="0"/>
          <w:marBottom w:val="0"/>
          <w:divBdr>
            <w:top w:val="none" w:sz="0" w:space="0" w:color="auto"/>
            <w:left w:val="none" w:sz="0" w:space="0" w:color="auto"/>
            <w:bottom w:val="none" w:sz="0" w:space="0" w:color="auto"/>
            <w:right w:val="none" w:sz="0" w:space="0" w:color="auto"/>
          </w:divBdr>
          <w:divsChild>
            <w:div w:id="1810904009">
              <w:marLeft w:val="0"/>
              <w:marRight w:val="0"/>
              <w:marTop w:val="0"/>
              <w:marBottom w:val="0"/>
              <w:divBdr>
                <w:top w:val="none" w:sz="0" w:space="0" w:color="auto"/>
                <w:left w:val="none" w:sz="0" w:space="0" w:color="auto"/>
                <w:bottom w:val="none" w:sz="0" w:space="0" w:color="auto"/>
                <w:right w:val="none" w:sz="0" w:space="0" w:color="auto"/>
              </w:divBdr>
              <w:divsChild>
                <w:div w:id="1202787639">
                  <w:marLeft w:val="2925"/>
                  <w:marRight w:val="2775"/>
                  <w:marTop w:val="0"/>
                  <w:marBottom w:val="0"/>
                  <w:divBdr>
                    <w:top w:val="none" w:sz="0" w:space="0" w:color="auto"/>
                    <w:left w:val="none" w:sz="0" w:space="0" w:color="auto"/>
                    <w:bottom w:val="none" w:sz="0" w:space="0" w:color="auto"/>
                    <w:right w:val="none" w:sz="0" w:space="0" w:color="auto"/>
                  </w:divBdr>
                  <w:divsChild>
                    <w:div w:id="438842854">
                      <w:marLeft w:val="0"/>
                      <w:marRight w:val="0"/>
                      <w:marTop w:val="0"/>
                      <w:marBottom w:val="120"/>
                      <w:divBdr>
                        <w:top w:val="none" w:sz="0" w:space="0" w:color="auto"/>
                        <w:left w:val="none" w:sz="0" w:space="0" w:color="auto"/>
                        <w:bottom w:val="none" w:sz="0" w:space="0" w:color="auto"/>
                        <w:right w:val="none" w:sz="0" w:space="0" w:color="auto"/>
                      </w:divBdr>
                    </w:div>
                    <w:div w:id="1812210979">
                      <w:marLeft w:val="0"/>
                      <w:marRight w:val="0"/>
                      <w:marTop w:val="0"/>
                      <w:marBottom w:val="0"/>
                      <w:divBdr>
                        <w:top w:val="none" w:sz="0" w:space="0" w:color="auto"/>
                        <w:left w:val="none" w:sz="0" w:space="0" w:color="auto"/>
                        <w:bottom w:val="none" w:sz="0" w:space="0" w:color="auto"/>
                        <w:right w:val="none" w:sz="0" w:space="0" w:color="auto"/>
                      </w:divBdr>
                      <w:divsChild>
                        <w:div w:id="154201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857</Words>
  <Characters>4890</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2016-08-25T15:03:00Z</dcterms:created>
  <dcterms:modified xsi:type="dcterms:W3CDTF">2016-08-25T15:03:00Z</dcterms:modified>
</cp:coreProperties>
</file>